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2A35" w:rsidRDefault="00655E0C">
      <w:pPr>
        <w:snapToGrid w:val="0"/>
        <w:ind w:left="1701" w:hanging="1701"/>
        <w:jc w:val="left"/>
        <w:rPr>
          <w:rFonts w:ascii="Arial" w:eastAsia="Calibri" w:hAnsi="Arial" w:cs="Arial"/>
          <w:b/>
          <w:bCs/>
          <w:kern w:val="0"/>
          <w:sz w:val="22"/>
          <w:szCs w:val="22"/>
          <w:lang w:eastAsia="en-US"/>
        </w:rPr>
      </w:pPr>
      <w:bookmarkStart w:id="0" w:name="OLE_LINK1"/>
      <w:bookmarkStart w:id="1" w:name="OLE_LINK2"/>
      <w:bookmarkStart w:id="2" w:name="_Ref124671424"/>
      <w:bookmarkStart w:id="3" w:name="_Ref71620620"/>
      <w:bookmarkStart w:id="4" w:name="_Ref124589665"/>
      <w:r>
        <w:rPr>
          <w:rFonts w:ascii="Arial" w:eastAsia="Calibri" w:hAnsi="Arial" w:cs="Arial"/>
          <w:b/>
          <w:bCs/>
          <w:kern w:val="0"/>
          <w:sz w:val="22"/>
          <w:szCs w:val="22"/>
          <w:lang w:eastAsia="en-US"/>
        </w:rPr>
        <w:t>3GPP TSG RAN WG1 #10</w:t>
      </w:r>
      <w:r>
        <w:rPr>
          <w:rFonts w:ascii="Arial" w:hAnsi="Arial" w:cs="Arial"/>
          <w:b/>
          <w:bCs/>
          <w:kern w:val="0"/>
          <w:sz w:val="22"/>
          <w:szCs w:val="22"/>
        </w:rPr>
        <w:t>5</w:t>
      </w:r>
      <w:r>
        <w:rPr>
          <w:rFonts w:ascii="Arial" w:hAnsi="Arial" w:cs="Arial" w:hint="eastAsia"/>
          <w:b/>
          <w:bCs/>
          <w:kern w:val="0"/>
          <w:sz w:val="22"/>
          <w:szCs w:val="22"/>
        </w:rPr>
        <w:t>-</w:t>
      </w:r>
      <w:r>
        <w:rPr>
          <w:rFonts w:ascii="Arial" w:hAnsi="Arial" w:cs="Arial"/>
          <w:b/>
          <w:bCs/>
          <w:kern w:val="0"/>
          <w:sz w:val="22"/>
          <w:szCs w:val="22"/>
        </w:rPr>
        <w:t>e</w:t>
      </w:r>
      <w:r>
        <w:rPr>
          <w:rFonts w:ascii="Arial" w:hAnsi="Arial" w:cs="Arial" w:hint="eastAsia"/>
          <w:b/>
          <w:bCs/>
          <w:kern w:val="0"/>
          <w:sz w:val="22"/>
          <w:szCs w:val="22"/>
        </w:rPr>
        <w:t xml:space="preserve">        </w:t>
      </w:r>
      <w:r w:rsidR="003A02AA">
        <w:rPr>
          <w:rFonts w:ascii="Arial" w:hAnsi="Arial" w:cs="Arial" w:hint="eastAsia"/>
          <w:b/>
          <w:bCs/>
          <w:kern w:val="0"/>
          <w:sz w:val="22"/>
          <w:szCs w:val="22"/>
        </w:rPr>
        <w:t xml:space="preserve">                             </w:t>
      </w:r>
      <w:r>
        <w:rPr>
          <w:rFonts w:ascii="Arial" w:hAnsi="Arial" w:cs="Arial"/>
          <w:b/>
          <w:bCs/>
          <w:kern w:val="0"/>
          <w:sz w:val="22"/>
          <w:szCs w:val="22"/>
        </w:rPr>
        <w:t>R1-21</w:t>
      </w:r>
      <w:r w:rsidR="003A02AA">
        <w:rPr>
          <w:rFonts w:ascii="Arial" w:hAnsi="Arial" w:cs="Arial"/>
          <w:b/>
          <w:bCs/>
          <w:kern w:val="0"/>
          <w:sz w:val="22"/>
          <w:szCs w:val="22"/>
        </w:rPr>
        <w:t>05195</w:t>
      </w:r>
      <w:r>
        <w:rPr>
          <w:b/>
          <w:bCs/>
          <w:sz w:val="22"/>
          <w:szCs w:val="22"/>
        </w:rPr>
        <w:t xml:space="preserve">                                                                                       </w:t>
      </w:r>
      <w:r>
        <w:rPr>
          <w:rFonts w:ascii="Arial" w:eastAsia="Calibri" w:hAnsi="Arial" w:cs="Arial"/>
          <w:b/>
          <w:bCs/>
          <w:kern w:val="0"/>
          <w:sz w:val="22"/>
          <w:szCs w:val="22"/>
          <w:lang w:eastAsia="en-US"/>
        </w:rPr>
        <w:t xml:space="preserve">  </w:t>
      </w:r>
    </w:p>
    <w:p w:rsidR="001B2A35" w:rsidRDefault="00655E0C">
      <w:pPr>
        <w:widowControl/>
        <w:tabs>
          <w:tab w:val="left" w:pos="1304"/>
          <w:tab w:val="left" w:pos="1701"/>
        </w:tabs>
        <w:snapToGrid w:val="0"/>
        <w:spacing w:after="160" w:line="259" w:lineRule="auto"/>
        <w:ind w:left="1701" w:hanging="1701"/>
        <w:jc w:val="left"/>
        <w:rPr>
          <w:rFonts w:ascii="Arial" w:hAnsi="Arial" w:cs="Arial"/>
          <w:b/>
          <w:sz w:val="22"/>
          <w:szCs w:val="22"/>
        </w:rPr>
      </w:pPr>
      <w:proofErr w:type="gramStart"/>
      <w:r>
        <w:rPr>
          <w:rFonts w:ascii="Arial" w:eastAsia="Calibri" w:hAnsi="Arial" w:cs="Arial"/>
          <w:b/>
          <w:bCs/>
          <w:kern w:val="0"/>
          <w:sz w:val="22"/>
          <w:szCs w:val="22"/>
          <w:lang w:eastAsia="en-US"/>
        </w:rPr>
        <w:t>e-Meeting</w:t>
      </w:r>
      <w:proofErr w:type="gramEnd"/>
      <w:r>
        <w:rPr>
          <w:rFonts w:ascii="Arial" w:eastAsia="Calibri" w:hAnsi="Arial" w:cs="Arial"/>
          <w:b/>
          <w:bCs/>
          <w:kern w:val="0"/>
          <w:sz w:val="22"/>
          <w:szCs w:val="22"/>
          <w:lang w:eastAsia="en-US"/>
        </w:rPr>
        <w:t xml:space="preserve">, </w:t>
      </w:r>
      <w:r>
        <w:rPr>
          <w:rFonts w:ascii="Arial" w:hAnsi="Arial" w:cs="Arial"/>
          <w:b/>
          <w:bCs/>
          <w:kern w:val="0"/>
          <w:sz w:val="22"/>
          <w:szCs w:val="22"/>
        </w:rPr>
        <w:t>May</w:t>
      </w:r>
      <w:r>
        <w:rPr>
          <w:rFonts w:ascii="Arial" w:hAnsi="Arial" w:cs="Arial" w:hint="eastAsia"/>
          <w:b/>
          <w:bCs/>
          <w:kern w:val="0"/>
          <w:sz w:val="22"/>
          <w:szCs w:val="22"/>
        </w:rPr>
        <w:t xml:space="preserve"> </w:t>
      </w:r>
      <w:r>
        <w:rPr>
          <w:rFonts w:ascii="Arial" w:hAnsi="Arial" w:cs="Arial"/>
          <w:b/>
          <w:bCs/>
          <w:kern w:val="0"/>
          <w:sz w:val="22"/>
          <w:szCs w:val="22"/>
        </w:rPr>
        <w:t>10</w:t>
      </w:r>
      <w:r>
        <w:rPr>
          <w:rFonts w:ascii="Arial" w:hAnsi="Arial" w:cs="Arial" w:hint="eastAsia"/>
          <w:b/>
          <w:bCs/>
          <w:kern w:val="0"/>
          <w:sz w:val="22"/>
          <w:szCs w:val="22"/>
          <w:vertAlign w:val="superscript"/>
        </w:rPr>
        <w:t>th</w:t>
      </w:r>
      <w:r>
        <w:rPr>
          <w:rFonts w:ascii="Arial" w:hAnsi="Arial" w:cs="Arial" w:hint="eastAsia"/>
          <w:b/>
          <w:bCs/>
          <w:kern w:val="0"/>
          <w:sz w:val="22"/>
          <w:szCs w:val="22"/>
        </w:rPr>
        <w:t xml:space="preserve"> </w:t>
      </w:r>
      <w:r>
        <w:rPr>
          <w:rFonts w:ascii="Arial" w:eastAsia="Calibri" w:hAnsi="Arial" w:cs="Arial"/>
          <w:b/>
          <w:bCs/>
          <w:kern w:val="0"/>
          <w:sz w:val="22"/>
          <w:szCs w:val="22"/>
          <w:lang w:eastAsia="en-US"/>
        </w:rPr>
        <w:t xml:space="preserve">– </w:t>
      </w:r>
      <w:r>
        <w:rPr>
          <w:rFonts w:ascii="Arial" w:hAnsi="Arial" w:cs="Arial"/>
          <w:b/>
          <w:bCs/>
          <w:kern w:val="0"/>
          <w:sz w:val="22"/>
          <w:szCs w:val="22"/>
        </w:rPr>
        <w:t>27</w:t>
      </w:r>
      <w:r>
        <w:rPr>
          <w:rFonts w:ascii="Arial" w:hAnsi="Arial" w:cs="Arial" w:hint="eastAsia"/>
          <w:b/>
          <w:bCs/>
          <w:kern w:val="0"/>
          <w:sz w:val="22"/>
          <w:szCs w:val="22"/>
          <w:vertAlign w:val="superscript"/>
        </w:rPr>
        <w:t>th</w:t>
      </w:r>
      <w:r>
        <w:rPr>
          <w:rFonts w:ascii="Arial" w:eastAsia="Calibri" w:hAnsi="Arial" w:cs="Arial"/>
          <w:b/>
          <w:bCs/>
          <w:kern w:val="0"/>
          <w:sz w:val="22"/>
          <w:szCs w:val="22"/>
          <w:lang w:eastAsia="en-US"/>
        </w:rPr>
        <w:t>, 202</w:t>
      </w:r>
      <w:r>
        <w:rPr>
          <w:rFonts w:ascii="Arial" w:hAnsi="Arial" w:cs="Arial" w:hint="eastAsia"/>
          <w:b/>
          <w:bCs/>
          <w:kern w:val="0"/>
          <w:sz w:val="22"/>
          <w:szCs w:val="22"/>
        </w:rPr>
        <w:t>1</w:t>
      </w:r>
    </w:p>
    <w:p w:rsidR="001B2A35" w:rsidRDefault="00655E0C">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1B2A35" w:rsidRDefault="00655E0C">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hint="eastAsia"/>
          <w:b/>
          <w:sz w:val="22"/>
          <w:szCs w:val="22"/>
        </w:rPr>
        <w:t>Discussion</w:t>
      </w:r>
      <w:r>
        <w:rPr>
          <w:rFonts w:ascii="Arial" w:hAnsi="Arial" w:cs="Arial"/>
          <w:b/>
          <w:sz w:val="22"/>
          <w:szCs w:val="22"/>
        </w:rPr>
        <w:t xml:space="preserve"> on </w:t>
      </w:r>
      <w:r w:rsidR="003A02AA">
        <w:rPr>
          <w:rFonts w:ascii="Arial" w:hAnsi="Arial" w:cs="Arial" w:hint="eastAsia"/>
          <w:b/>
          <w:sz w:val="22"/>
          <w:szCs w:val="22"/>
        </w:rPr>
        <w:t>timing</w:t>
      </w:r>
      <w:r w:rsidR="003A02AA">
        <w:rPr>
          <w:rFonts w:ascii="Arial" w:hAnsi="Arial" w:cs="Arial"/>
          <w:b/>
          <w:sz w:val="22"/>
          <w:szCs w:val="22"/>
        </w:rPr>
        <w:t xml:space="preserve"> </w:t>
      </w:r>
      <w:r>
        <w:rPr>
          <w:rFonts w:ascii="Arial" w:hAnsi="Arial" w:cs="Arial" w:hint="eastAsia"/>
          <w:b/>
          <w:sz w:val="22"/>
          <w:szCs w:val="22"/>
        </w:rPr>
        <w:t xml:space="preserve">relationship </w:t>
      </w:r>
      <w:r>
        <w:rPr>
          <w:rFonts w:ascii="Arial" w:hAnsi="Arial" w:cs="Arial"/>
          <w:b/>
          <w:sz w:val="22"/>
          <w:szCs w:val="22"/>
        </w:rPr>
        <w:t>for IoT-NTN</w:t>
      </w:r>
    </w:p>
    <w:p w:rsidR="001B2A35" w:rsidRDefault="00655E0C">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w:t>
      </w:r>
      <w:r>
        <w:rPr>
          <w:rFonts w:ascii="Arial" w:hAnsi="Arial" w:cs="Arial" w:hint="eastAsia"/>
          <w:b/>
          <w:sz w:val="22"/>
          <w:szCs w:val="22"/>
        </w:rPr>
        <w:t>15</w:t>
      </w:r>
      <w:r>
        <w:rPr>
          <w:rFonts w:ascii="Arial" w:hAnsi="Arial" w:cs="Arial"/>
          <w:b/>
          <w:sz w:val="22"/>
          <w:szCs w:val="22"/>
        </w:rPr>
        <w:t>.</w:t>
      </w:r>
      <w:r>
        <w:rPr>
          <w:rFonts w:ascii="Arial" w:hAnsi="Arial" w:cs="Arial" w:hint="eastAsia"/>
          <w:b/>
          <w:sz w:val="22"/>
          <w:szCs w:val="22"/>
        </w:rPr>
        <w:t>3</w:t>
      </w:r>
    </w:p>
    <w:p w:rsidR="001B2A35" w:rsidRDefault="00655E0C">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1B2A35" w:rsidRDefault="00655E0C">
      <w:pPr>
        <w:pStyle w:val="1"/>
        <w:keepNext w:val="0"/>
        <w:keepLines w:val="0"/>
        <w:widowControl w:val="0"/>
        <w:numPr>
          <w:ilvl w:val="0"/>
          <w:numId w:val="3"/>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Introduction</w:t>
      </w:r>
    </w:p>
    <w:p w:rsidR="001B2A35" w:rsidRDefault="00655E0C">
      <w:pPr>
        <w:adjustRightInd w:val="0"/>
        <w:snapToGrid w:val="0"/>
        <w:rPr>
          <w:sz w:val="20"/>
          <w:szCs w:val="20"/>
        </w:rPr>
      </w:pPr>
      <w:r>
        <w:rPr>
          <w:sz w:val="20"/>
          <w:szCs w:val="20"/>
        </w:rPr>
        <w:t>In RAN1#104</w:t>
      </w:r>
      <w:r>
        <w:rPr>
          <w:rFonts w:hint="eastAsia"/>
          <w:sz w:val="20"/>
          <w:szCs w:val="20"/>
        </w:rPr>
        <w:t>b-</w:t>
      </w:r>
      <w:r>
        <w:rPr>
          <w:sz w:val="20"/>
          <w:szCs w:val="20"/>
        </w:rPr>
        <w:t>e meeting, time relationship</w:t>
      </w:r>
      <w:r>
        <w:rPr>
          <w:rFonts w:hint="eastAsia"/>
          <w:sz w:val="20"/>
          <w:szCs w:val="20"/>
        </w:rPr>
        <w:t>s</w:t>
      </w:r>
      <w:r>
        <w:rPr>
          <w:sz w:val="20"/>
          <w:szCs w:val="20"/>
        </w:rPr>
        <w:t xml:space="preserve"> </w:t>
      </w:r>
      <w:r>
        <w:rPr>
          <w:rFonts w:hint="eastAsia"/>
          <w:sz w:val="20"/>
          <w:szCs w:val="20"/>
        </w:rPr>
        <w:t xml:space="preserve">enhancement </w:t>
      </w:r>
      <w:r>
        <w:rPr>
          <w:sz w:val="20"/>
          <w:szCs w:val="20"/>
        </w:rPr>
        <w:t xml:space="preserve">were </w:t>
      </w:r>
      <w:r>
        <w:rPr>
          <w:rFonts w:hint="eastAsia"/>
          <w:sz w:val="20"/>
          <w:szCs w:val="20"/>
        </w:rPr>
        <w:t>identified</w:t>
      </w:r>
      <w:r>
        <w:rPr>
          <w:sz w:val="20"/>
          <w:szCs w:val="20"/>
        </w:rPr>
        <w:t xml:space="preserve"> and following agreements were made </w:t>
      </w:r>
      <w:r>
        <w:rPr>
          <w:sz w:val="20"/>
          <w:szCs w:val="20"/>
        </w:rPr>
        <w:fldChar w:fldCharType="begin"/>
      </w:r>
      <w:r>
        <w:rPr>
          <w:sz w:val="20"/>
          <w:szCs w:val="20"/>
        </w:rPr>
        <w:instrText xml:space="preserve"> REF _Ref67559834 \r \h  \* MERGEFORMAT </w:instrText>
      </w:r>
      <w:r>
        <w:rPr>
          <w:sz w:val="20"/>
          <w:szCs w:val="20"/>
        </w:rPr>
      </w:r>
      <w:r>
        <w:rPr>
          <w:sz w:val="20"/>
          <w:szCs w:val="20"/>
        </w:rPr>
        <w:fldChar w:fldCharType="separate"/>
      </w:r>
      <w:r>
        <w:rPr>
          <w:sz w:val="20"/>
          <w:szCs w:val="20"/>
        </w:rPr>
        <w:t>[</w:t>
      </w:r>
      <w:r>
        <w:rPr>
          <w:rFonts w:hint="eastAsia"/>
          <w:sz w:val="20"/>
          <w:szCs w:val="20"/>
        </w:rPr>
        <w:t>1</w:t>
      </w:r>
      <w:r>
        <w:rPr>
          <w:sz w:val="20"/>
          <w:szCs w:val="20"/>
        </w:rPr>
        <w:t>]</w:t>
      </w:r>
      <w:r>
        <w:rPr>
          <w:sz w:val="20"/>
          <w:szCs w:val="20"/>
        </w:rPr>
        <w:fldChar w:fldCharType="end"/>
      </w:r>
      <w:r>
        <w:rPr>
          <w:sz w:val="20"/>
          <w:szCs w:val="20"/>
        </w:rPr>
        <w:t xml:space="preserve">. </w:t>
      </w:r>
    </w:p>
    <w:p w:rsidR="001B2A35" w:rsidRDefault="00655E0C">
      <w:pPr>
        <w:widowControl/>
        <w:spacing w:beforeLines="50" w:before="156" w:afterLines="50" w:after="156"/>
        <w:jc w:val="left"/>
        <w:rPr>
          <w:i/>
          <w:iCs/>
          <w:kern w:val="0"/>
          <w:sz w:val="20"/>
          <w:lang w:val="en-GB" w:eastAsia="en-US"/>
        </w:rPr>
      </w:pPr>
      <w:r>
        <w:rPr>
          <w:i/>
          <w:iCs/>
          <w:kern w:val="0"/>
          <w:sz w:val="20"/>
          <w:highlight w:val="green"/>
          <w:lang w:val="en-GB" w:eastAsia="en-US"/>
        </w:rPr>
        <w:t>Agreement:</w:t>
      </w:r>
    </w:p>
    <w:p w:rsidR="001B2A35" w:rsidRDefault="00655E0C">
      <w:pPr>
        <w:widowControl/>
        <w:jc w:val="left"/>
        <w:rPr>
          <w:i/>
          <w:iCs/>
          <w:kern w:val="0"/>
          <w:sz w:val="20"/>
          <w:lang w:val="en-GB" w:eastAsia="en-US"/>
        </w:rPr>
      </w:pPr>
      <w:r>
        <w:rPr>
          <w:i/>
          <w:iCs/>
          <w:kern w:val="0"/>
          <w:sz w:val="20"/>
          <w:lang w:val="en-GB" w:eastAsia="en-US"/>
        </w:rPr>
        <w:t>The following NB-IoT timing relationships need enhancing for essential minimum functionality of IoT NTN:</w:t>
      </w:r>
    </w:p>
    <w:p w:rsidR="001B2A35" w:rsidRDefault="00655E0C">
      <w:pPr>
        <w:widowControl/>
        <w:numPr>
          <w:ilvl w:val="0"/>
          <w:numId w:val="4"/>
        </w:numPr>
        <w:jc w:val="left"/>
        <w:rPr>
          <w:i/>
          <w:iCs/>
          <w:kern w:val="0"/>
          <w:sz w:val="20"/>
          <w:lang w:val="en-GB" w:eastAsia="en-US"/>
        </w:rPr>
      </w:pPr>
      <w:r>
        <w:rPr>
          <w:i/>
          <w:iCs/>
          <w:kern w:val="0"/>
          <w:sz w:val="20"/>
          <w:lang w:val="en-GB" w:eastAsia="en-US"/>
        </w:rPr>
        <w:t xml:space="preserve">NPDCCH to NPUSCH format 1 </w:t>
      </w:r>
    </w:p>
    <w:p w:rsidR="001B2A35" w:rsidRDefault="00655E0C">
      <w:pPr>
        <w:widowControl/>
        <w:numPr>
          <w:ilvl w:val="0"/>
          <w:numId w:val="4"/>
        </w:numPr>
        <w:jc w:val="left"/>
        <w:rPr>
          <w:i/>
          <w:iCs/>
          <w:kern w:val="0"/>
          <w:sz w:val="20"/>
          <w:lang w:val="en-GB" w:eastAsia="en-US"/>
        </w:rPr>
      </w:pPr>
      <w:r>
        <w:rPr>
          <w:i/>
          <w:iCs/>
          <w:kern w:val="0"/>
          <w:sz w:val="20"/>
          <w:lang w:val="en-GB" w:eastAsia="en-US"/>
        </w:rPr>
        <w:t>RAR grant to NPUSCH format 1</w:t>
      </w:r>
    </w:p>
    <w:p w:rsidR="001B2A35" w:rsidRDefault="00655E0C">
      <w:pPr>
        <w:widowControl/>
        <w:numPr>
          <w:ilvl w:val="0"/>
          <w:numId w:val="4"/>
        </w:numPr>
        <w:jc w:val="left"/>
        <w:rPr>
          <w:i/>
          <w:iCs/>
          <w:kern w:val="0"/>
          <w:sz w:val="20"/>
          <w:lang w:val="en-GB" w:eastAsia="en-US"/>
        </w:rPr>
      </w:pPr>
      <w:r>
        <w:rPr>
          <w:i/>
          <w:iCs/>
          <w:kern w:val="0"/>
          <w:sz w:val="20"/>
          <w:lang w:val="en-GB" w:eastAsia="en-US"/>
        </w:rPr>
        <w:t>NPDSCH to HARQ-ACK on NPUSCH format 2</w:t>
      </w:r>
    </w:p>
    <w:p w:rsidR="001B2A35" w:rsidRDefault="00655E0C">
      <w:pPr>
        <w:widowControl/>
        <w:numPr>
          <w:ilvl w:val="0"/>
          <w:numId w:val="4"/>
        </w:numPr>
        <w:jc w:val="left"/>
        <w:rPr>
          <w:i/>
          <w:iCs/>
          <w:kern w:val="0"/>
          <w:sz w:val="20"/>
          <w:lang w:val="en-GB" w:eastAsia="en-US"/>
        </w:rPr>
      </w:pPr>
      <w:r>
        <w:rPr>
          <w:i/>
          <w:iCs/>
          <w:kern w:val="0"/>
          <w:sz w:val="20"/>
          <w:lang w:val="en-GB" w:eastAsia="en-US"/>
        </w:rPr>
        <w:t>Timing advance command activation</w:t>
      </w:r>
    </w:p>
    <w:p w:rsidR="001B2A35" w:rsidRDefault="00655E0C">
      <w:pPr>
        <w:widowControl/>
        <w:numPr>
          <w:ilvl w:val="0"/>
          <w:numId w:val="4"/>
        </w:numPr>
        <w:jc w:val="left"/>
        <w:rPr>
          <w:i/>
          <w:iCs/>
          <w:kern w:val="0"/>
          <w:sz w:val="20"/>
          <w:lang w:val="en-GB" w:eastAsia="en-US"/>
        </w:rPr>
      </w:pPr>
      <w:r>
        <w:rPr>
          <w:i/>
          <w:iCs/>
          <w:kern w:val="0"/>
          <w:sz w:val="20"/>
          <w:lang w:val="en-GB" w:eastAsia="en-US"/>
        </w:rPr>
        <w:t>FFS: NPDCCH order to NPRACH</w:t>
      </w:r>
    </w:p>
    <w:p w:rsidR="001B2A35" w:rsidRDefault="00655E0C">
      <w:pPr>
        <w:widowControl/>
        <w:numPr>
          <w:ilvl w:val="0"/>
          <w:numId w:val="4"/>
        </w:numPr>
        <w:jc w:val="left"/>
        <w:rPr>
          <w:i/>
          <w:iCs/>
          <w:kern w:val="0"/>
          <w:sz w:val="20"/>
          <w:lang w:val="en-GB" w:eastAsia="en-US"/>
        </w:rPr>
      </w:pPr>
      <w:r>
        <w:rPr>
          <w:i/>
          <w:iCs/>
          <w:kern w:val="0"/>
          <w:sz w:val="20"/>
          <w:lang w:val="en-GB" w:eastAsia="en-US"/>
        </w:rPr>
        <w:t>FFS: Other NB-IoT timing relationships</w:t>
      </w:r>
    </w:p>
    <w:p w:rsidR="001B2A35" w:rsidRDefault="00655E0C">
      <w:pPr>
        <w:widowControl/>
        <w:spacing w:beforeLines="50" w:before="156"/>
        <w:jc w:val="left"/>
        <w:rPr>
          <w:i/>
          <w:iCs/>
          <w:kern w:val="0"/>
          <w:sz w:val="20"/>
          <w:lang w:val="en-GB" w:eastAsia="en-US"/>
        </w:rPr>
      </w:pPr>
      <w:r>
        <w:rPr>
          <w:i/>
          <w:iCs/>
          <w:kern w:val="0"/>
          <w:sz w:val="20"/>
          <w:highlight w:val="green"/>
          <w:lang w:val="en-GB" w:eastAsia="en-US"/>
        </w:rPr>
        <w:t>Agreement:</w:t>
      </w:r>
    </w:p>
    <w:p w:rsidR="001B2A35" w:rsidRDefault="00655E0C">
      <w:pPr>
        <w:widowControl/>
        <w:jc w:val="left"/>
        <w:rPr>
          <w:i/>
          <w:iCs/>
          <w:kern w:val="0"/>
          <w:sz w:val="20"/>
          <w:lang w:val="en-GB" w:eastAsia="en-US"/>
        </w:rPr>
      </w:pPr>
      <w:r>
        <w:rPr>
          <w:i/>
          <w:iCs/>
          <w:kern w:val="0"/>
          <w:sz w:val="20"/>
          <w:lang w:val="en-GB" w:eastAsia="en-US"/>
        </w:rPr>
        <w:t>The enhancement based on extending the timing relationship, by e.g. Koffset, adopted in NR NTN should be the starting point for enhancement of NB-IoT timing relationships in IoT NTN. Details can be further discussed considering IoT NTN.</w:t>
      </w:r>
    </w:p>
    <w:p w:rsidR="001B2A35" w:rsidRDefault="00655E0C">
      <w:pPr>
        <w:widowControl/>
        <w:spacing w:beforeLines="50" w:before="156"/>
        <w:jc w:val="left"/>
        <w:rPr>
          <w:i/>
          <w:iCs/>
          <w:kern w:val="0"/>
          <w:sz w:val="20"/>
          <w:highlight w:val="green"/>
          <w:lang w:val="en-GB" w:eastAsia="en-US"/>
        </w:rPr>
      </w:pPr>
      <w:r>
        <w:rPr>
          <w:i/>
          <w:iCs/>
          <w:kern w:val="0"/>
          <w:sz w:val="20"/>
          <w:highlight w:val="green"/>
          <w:lang w:val="en-GB" w:eastAsia="en-US"/>
        </w:rPr>
        <w:t>Agreement:</w:t>
      </w:r>
    </w:p>
    <w:p w:rsidR="001B2A35" w:rsidRDefault="00655E0C">
      <w:pPr>
        <w:widowControl/>
        <w:jc w:val="left"/>
        <w:rPr>
          <w:rFonts w:eastAsia="Calibri"/>
          <w:i/>
          <w:iCs/>
          <w:kern w:val="0"/>
          <w:sz w:val="20"/>
          <w:lang w:val="en-GB" w:eastAsia="en-US"/>
        </w:rPr>
      </w:pPr>
      <w:r>
        <w:rPr>
          <w:rFonts w:eastAsia="Calibri"/>
          <w:i/>
          <w:iCs/>
          <w:kern w:val="0"/>
          <w:sz w:val="20"/>
          <w:lang w:val="en-GB" w:eastAsia="en-US"/>
        </w:rPr>
        <w:t xml:space="preserve">The following eMTC timing relationships need enhancing for </w:t>
      </w:r>
      <w:r>
        <w:rPr>
          <w:i/>
          <w:iCs/>
          <w:kern w:val="0"/>
          <w:sz w:val="20"/>
          <w:lang w:val="en-GB" w:eastAsia="en-US"/>
        </w:rPr>
        <w:t xml:space="preserve">essential minimum functionality of </w:t>
      </w:r>
      <w:r>
        <w:rPr>
          <w:rFonts w:eastAsia="Calibri"/>
          <w:i/>
          <w:iCs/>
          <w:kern w:val="0"/>
          <w:sz w:val="20"/>
          <w:lang w:val="en-GB" w:eastAsia="en-US"/>
        </w:rPr>
        <w:t>IoT NTN:</w:t>
      </w:r>
    </w:p>
    <w:p w:rsidR="001B2A35" w:rsidRDefault="00655E0C">
      <w:pPr>
        <w:widowControl/>
        <w:numPr>
          <w:ilvl w:val="0"/>
          <w:numId w:val="4"/>
        </w:numPr>
        <w:jc w:val="left"/>
        <w:rPr>
          <w:i/>
          <w:iCs/>
          <w:kern w:val="0"/>
          <w:sz w:val="20"/>
          <w:lang w:val="en-GB" w:eastAsia="en-US"/>
        </w:rPr>
      </w:pPr>
      <w:r>
        <w:rPr>
          <w:i/>
          <w:iCs/>
          <w:kern w:val="0"/>
          <w:sz w:val="20"/>
          <w:lang w:val="en-GB" w:eastAsia="en-US"/>
        </w:rPr>
        <w:t xml:space="preserve">MPDCCH to PUSCH </w:t>
      </w:r>
    </w:p>
    <w:p w:rsidR="001B2A35" w:rsidRDefault="00655E0C">
      <w:pPr>
        <w:widowControl/>
        <w:numPr>
          <w:ilvl w:val="0"/>
          <w:numId w:val="4"/>
        </w:numPr>
        <w:jc w:val="left"/>
        <w:rPr>
          <w:i/>
          <w:iCs/>
          <w:kern w:val="0"/>
          <w:sz w:val="20"/>
          <w:lang w:val="en-GB" w:eastAsia="en-US"/>
        </w:rPr>
      </w:pPr>
      <w:r>
        <w:rPr>
          <w:i/>
          <w:iCs/>
          <w:kern w:val="0"/>
          <w:sz w:val="20"/>
          <w:lang w:val="en-GB" w:eastAsia="en-US"/>
        </w:rPr>
        <w:t xml:space="preserve">RAR grant to PUSCH </w:t>
      </w:r>
    </w:p>
    <w:p w:rsidR="001B2A35" w:rsidRDefault="00655E0C">
      <w:pPr>
        <w:widowControl/>
        <w:numPr>
          <w:ilvl w:val="0"/>
          <w:numId w:val="4"/>
        </w:numPr>
        <w:jc w:val="left"/>
        <w:rPr>
          <w:i/>
          <w:iCs/>
          <w:kern w:val="0"/>
          <w:sz w:val="20"/>
          <w:lang w:val="en-GB" w:eastAsia="en-US"/>
        </w:rPr>
      </w:pPr>
      <w:r>
        <w:rPr>
          <w:i/>
          <w:iCs/>
          <w:kern w:val="0"/>
          <w:sz w:val="20"/>
          <w:lang w:val="en-GB" w:eastAsia="en-US"/>
        </w:rPr>
        <w:t xml:space="preserve">MPDCCH to scheduled uplink SPS </w:t>
      </w:r>
    </w:p>
    <w:p w:rsidR="001B2A35" w:rsidRDefault="00655E0C">
      <w:pPr>
        <w:widowControl/>
        <w:numPr>
          <w:ilvl w:val="0"/>
          <w:numId w:val="4"/>
        </w:numPr>
        <w:jc w:val="left"/>
        <w:rPr>
          <w:i/>
          <w:iCs/>
          <w:kern w:val="0"/>
          <w:sz w:val="20"/>
          <w:lang w:val="en-GB" w:eastAsia="en-US"/>
        </w:rPr>
      </w:pPr>
      <w:r>
        <w:rPr>
          <w:i/>
          <w:iCs/>
          <w:kern w:val="0"/>
          <w:sz w:val="20"/>
          <w:lang w:val="en-GB" w:eastAsia="en-US"/>
        </w:rPr>
        <w:t xml:space="preserve">PUSCH to HARQ-ACK on PUCCH </w:t>
      </w:r>
    </w:p>
    <w:p w:rsidR="001B2A35" w:rsidRDefault="00655E0C">
      <w:pPr>
        <w:widowControl/>
        <w:numPr>
          <w:ilvl w:val="0"/>
          <w:numId w:val="4"/>
        </w:numPr>
        <w:jc w:val="left"/>
        <w:rPr>
          <w:i/>
          <w:iCs/>
          <w:kern w:val="0"/>
          <w:sz w:val="20"/>
          <w:lang w:val="en-GB" w:eastAsia="en-US"/>
        </w:rPr>
      </w:pPr>
      <w:r>
        <w:rPr>
          <w:i/>
          <w:iCs/>
          <w:kern w:val="0"/>
          <w:sz w:val="20"/>
          <w:lang w:val="en-GB" w:eastAsia="en-US"/>
        </w:rPr>
        <w:t xml:space="preserve">CSI reference resource timing </w:t>
      </w:r>
    </w:p>
    <w:p w:rsidR="001B2A35" w:rsidRDefault="00655E0C">
      <w:pPr>
        <w:widowControl/>
        <w:numPr>
          <w:ilvl w:val="0"/>
          <w:numId w:val="4"/>
        </w:numPr>
        <w:jc w:val="left"/>
        <w:rPr>
          <w:i/>
          <w:iCs/>
          <w:kern w:val="0"/>
          <w:sz w:val="20"/>
          <w:lang w:val="en-GB" w:eastAsia="en-US"/>
        </w:rPr>
      </w:pPr>
      <w:r>
        <w:rPr>
          <w:i/>
          <w:iCs/>
          <w:kern w:val="0"/>
          <w:sz w:val="20"/>
          <w:lang w:val="en-GB" w:eastAsia="en-US"/>
        </w:rPr>
        <w:t xml:space="preserve">MPDCCH to aperiodic SRS </w:t>
      </w:r>
    </w:p>
    <w:p w:rsidR="001B2A35" w:rsidRDefault="00655E0C">
      <w:pPr>
        <w:widowControl/>
        <w:numPr>
          <w:ilvl w:val="0"/>
          <w:numId w:val="4"/>
        </w:numPr>
        <w:jc w:val="left"/>
        <w:rPr>
          <w:i/>
          <w:iCs/>
          <w:kern w:val="0"/>
          <w:sz w:val="20"/>
          <w:lang w:val="en-GB" w:eastAsia="en-US"/>
        </w:rPr>
      </w:pPr>
      <w:r>
        <w:rPr>
          <w:i/>
          <w:iCs/>
          <w:kern w:val="0"/>
          <w:sz w:val="20"/>
          <w:lang w:val="en-GB" w:eastAsia="en-US"/>
        </w:rPr>
        <w:t>Timing advance command activation</w:t>
      </w:r>
    </w:p>
    <w:p w:rsidR="001B2A35" w:rsidRDefault="00655E0C">
      <w:pPr>
        <w:widowControl/>
        <w:numPr>
          <w:ilvl w:val="0"/>
          <w:numId w:val="4"/>
        </w:numPr>
        <w:jc w:val="left"/>
        <w:rPr>
          <w:i/>
          <w:iCs/>
          <w:kern w:val="0"/>
          <w:sz w:val="20"/>
          <w:lang w:val="en-GB" w:eastAsia="en-US"/>
        </w:rPr>
      </w:pPr>
      <w:r>
        <w:rPr>
          <w:i/>
          <w:iCs/>
          <w:kern w:val="0"/>
          <w:sz w:val="20"/>
          <w:lang w:val="en-GB" w:eastAsia="en-US"/>
        </w:rPr>
        <w:t>FFS: MPDCCH order to PRACH</w:t>
      </w:r>
    </w:p>
    <w:p w:rsidR="001B2A35" w:rsidRDefault="00655E0C">
      <w:pPr>
        <w:widowControl/>
        <w:numPr>
          <w:ilvl w:val="0"/>
          <w:numId w:val="4"/>
        </w:numPr>
        <w:jc w:val="left"/>
        <w:rPr>
          <w:i/>
          <w:iCs/>
          <w:kern w:val="0"/>
          <w:sz w:val="20"/>
          <w:lang w:val="en-GB" w:eastAsia="en-US"/>
        </w:rPr>
      </w:pPr>
      <w:r>
        <w:rPr>
          <w:i/>
          <w:iCs/>
          <w:kern w:val="0"/>
          <w:sz w:val="20"/>
          <w:lang w:val="en-GB" w:eastAsia="en-US"/>
        </w:rPr>
        <w:t>FFS: Other eMTC timing relationships</w:t>
      </w:r>
    </w:p>
    <w:p w:rsidR="001B2A35" w:rsidRDefault="00655E0C">
      <w:pPr>
        <w:widowControl/>
        <w:spacing w:beforeLines="50" w:before="156"/>
        <w:jc w:val="left"/>
        <w:rPr>
          <w:i/>
          <w:iCs/>
          <w:kern w:val="0"/>
          <w:sz w:val="20"/>
          <w:highlight w:val="green"/>
          <w:lang w:val="en-GB" w:eastAsia="en-US"/>
        </w:rPr>
      </w:pPr>
      <w:r>
        <w:rPr>
          <w:i/>
          <w:iCs/>
          <w:kern w:val="0"/>
          <w:sz w:val="20"/>
          <w:highlight w:val="green"/>
          <w:lang w:val="en-GB" w:eastAsia="en-US"/>
        </w:rPr>
        <w:t>Agreement:</w:t>
      </w:r>
    </w:p>
    <w:p w:rsidR="001B2A35" w:rsidRDefault="00655E0C">
      <w:pPr>
        <w:widowControl/>
        <w:jc w:val="left"/>
        <w:rPr>
          <w:i/>
          <w:iCs/>
          <w:kern w:val="0"/>
          <w:sz w:val="20"/>
          <w:lang w:val="en-GB" w:eastAsia="en-US"/>
        </w:rPr>
      </w:pPr>
      <w:r>
        <w:rPr>
          <w:i/>
          <w:iCs/>
          <w:kern w:val="0"/>
          <w:sz w:val="20"/>
          <w:lang w:val="en-GB" w:eastAsia="en-US"/>
        </w:rPr>
        <w:t>The enhancement based on extending the timing relationship, by e.g. Koffset, adopted in NR NTN should be the starting point for enhancement of eMTC timing relationships in IoT NTN. Details can be further discussed considering IoT NTN.</w:t>
      </w:r>
    </w:p>
    <w:p w:rsidR="001B2A35" w:rsidRDefault="00655E0C">
      <w:pPr>
        <w:widowControl/>
        <w:spacing w:beforeLines="50" w:before="156"/>
        <w:jc w:val="left"/>
        <w:rPr>
          <w:i/>
          <w:iCs/>
          <w:kern w:val="0"/>
          <w:sz w:val="20"/>
          <w:highlight w:val="green"/>
          <w:lang w:val="en-GB" w:eastAsia="en-US"/>
        </w:rPr>
      </w:pPr>
      <w:r>
        <w:rPr>
          <w:i/>
          <w:iCs/>
          <w:kern w:val="0"/>
          <w:sz w:val="20"/>
          <w:highlight w:val="green"/>
          <w:lang w:val="en-GB" w:eastAsia="en-US"/>
        </w:rPr>
        <w:t>Agreement:</w:t>
      </w:r>
    </w:p>
    <w:p w:rsidR="001B2A35" w:rsidRDefault="00655E0C">
      <w:pPr>
        <w:widowControl/>
        <w:jc w:val="left"/>
        <w:rPr>
          <w:i/>
          <w:iCs/>
          <w:kern w:val="0"/>
          <w:sz w:val="20"/>
          <w:lang w:val="en-GB" w:eastAsia="en-US"/>
        </w:rPr>
      </w:pPr>
      <w:r>
        <w:rPr>
          <w:i/>
          <w:iCs/>
          <w:kern w:val="0"/>
          <w:sz w:val="20"/>
          <w:lang w:val="en-GB" w:eastAsia="en-US"/>
        </w:rPr>
        <w:t xml:space="preserve">For NB-IoT over NTN, the following timing relationship needs to be studied to check whether enhancement is necessary and beneficial: </w:t>
      </w:r>
    </w:p>
    <w:p w:rsidR="001B2A35" w:rsidRDefault="00655E0C">
      <w:pPr>
        <w:numPr>
          <w:ilvl w:val="0"/>
          <w:numId w:val="5"/>
        </w:numPr>
        <w:rPr>
          <w:i/>
          <w:iCs/>
          <w:lang w:val="en-GB" w:eastAsia="en-US"/>
        </w:rPr>
      </w:pPr>
      <w:r>
        <w:rPr>
          <w:i/>
          <w:iCs/>
          <w:lang w:val="en-GB" w:eastAsia="en-US"/>
        </w:rPr>
        <w:lastRenderedPageBreak/>
        <w:t>PRACH preamble retransmission</w:t>
      </w:r>
    </w:p>
    <w:p w:rsidR="001B2A35" w:rsidRDefault="00655E0C">
      <w:pPr>
        <w:widowControl/>
        <w:spacing w:beforeLines="50" w:before="156"/>
        <w:jc w:val="left"/>
        <w:rPr>
          <w:i/>
          <w:iCs/>
          <w:kern w:val="0"/>
          <w:sz w:val="20"/>
          <w:highlight w:val="green"/>
          <w:lang w:val="en-GB" w:eastAsia="en-US"/>
        </w:rPr>
      </w:pPr>
      <w:r>
        <w:rPr>
          <w:i/>
          <w:iCs/>
          <w:kern w:val="0"/>
          <w:sz w:val="20"/>
          <w:highlight w:val="green"/>
          <w:lang w:val="en-GB" w:eastAsia="en-US"/>
        </w:rPr>
        <w:t xml:space="preserve">Agreement: </w:t>
      </w:r>
    </w:p>
    <w:p w:rsidR="001B2A35" w:rsidRDefault="00655E0C">
      <w:pPr>
        <w:widowControl/>
        <w:jc w:val="left"/>
        <w:rPr>
          <w:i/>
          <w:iCs/>
          <w:kern w:val="0"/>
          <w:sz w:val="20"/>
          <w:lang w:val="en-GB" w:eastAsia="en-US"/>
        </w:rPr>
      </w:pPr>
      <w:r>
        <w:rPr>
          <w:i/>
          <w:iCs/>
          <w:kern w:val="0"/>
          <w:sz w:val="20"/>
          <w:lang w:val="en-GB" w:eastAsia="en-US"/>
        </w:rPr>
        <w:t xml:space="preserve">For eMTC over NTN, the following timing relationship needs to be studied to check whether enhancement is necessary and beneficial: </w:t>
      </w:r>
    </w:p>
    <w:p w:rsidR="001B2A35" w:rsidRDefault="00655E0C">
      <w:pPr>
        <w:numPr>
          <w:ilvl w:val="0"/>
          <w:numId w:val="5"/>
        </w:numPr>
        <w:rPr>
          <w:i/>
          <w:iCs/>
          <w:lang w:val="en-GB" w:eastAsia="en-US"/>
        </w:rPr>
      </w:pPr>
      <w:r>
        <w:rPr>
          <w:i/>
          <w:iCs/>
          <w:lang w:val="en-GB" w:eastAsia="en-US"/>
        </w:rPr>
        <w:t>PRACH preamble retransmission</w:t>
      </w:r>
    </w:p>
    <w:p w:rsidR="001B2A35" w:rsidRDefault="00655E0C">
      <w:pPr>
        <w:widowControl/>
        <w:spacing w:beforeLines="50" w:before="156"/>
        <w:jc w:val="left"/>
        <w:rPr>
          <w:i/>
          <w:iCs/>
          <w:kern w:val="0"/>
          <w:sz w:val="20"/>
          <w:highlight w:val="green"/>
          <w:lang w:val="en-GB" w:eastAsia="en-US"/>
        </w:rPr>
      </w:pPr>
      <w:r>
        <w:rPr>
          <w:i/>
          <w:iCs/>
          <w:kern w:val="0"/>
          <w:sz w:val="20"/>
          <w:highlight w:val="green"/>
          <w:lang w:val="en-GB" w:eastAsia="en-US"/>
        </w:rPr>
        <w:t>Agreement:</w:t>
      </w:r>
    </w:p>
    <w:p w:rsidR="001B2A35" w:rsidRDefault="00655E0C">
      <w:pPr>
        <w:widowControl/>
        <w:jc w:val="left"/>
        <w:rPr>
          <w:i/>
          <w:iCs/>
          <w:kern w:val="0"/>
          <w:sz w:val="20"/>
          <w:lang w:val="en-GB" w:eastAsia="en-US"/>
        </w:rPr>
      </w:pPr>
      <w:r>
        <w:rPr>
          <w:i/>
          <w:iCs/>
          <w:kern w:val="0"/>
          <w:sz w:val="20"/>
          <w:lang w:val="en-GB" w:eastAsia="en-US"/>
        </w:rPr>
        <w:t>Capture the following in the TR:</w:t>
      </w:r>
    </w:p>
    <w:p w:rsidR="001B2A35" w:rsidRDefault="00655E0C">
      <w:pPr>
        <w:widowControl/>
        <w:jc w:val="left"/>
        <w:rPr>
          <w:i/>
          <w:iCs/>
          <w:kern w:val="0"/>
          <w:sz w:val="20"/>
          <w:lang w:val="en-GB" w:eastAsia="en-US"/>
        </w:rPr>
      </w:pPr>
      <w:r>
        <w:rPr>
          <w:i/>
          <w:iCs/>
          <w:kern w:val="0"/>
          <w:sz w:val="20"/>
          <w:lang w:val="en-GB" w:eastAsia="en-US"/>
        </w:rPr>
        <w:t xml:space="preserve">The UE-specific TA and/or K_offset can be used by the </w:t>
      </w:r>
      <w:proofErr w:type="spellStart"/>
      <w:r>
        <w:rPr>
          <w:i/>
          <w:iCs/>
          <w:kern w:val="0"/>
          <w:sz w:val="20"/>
          <w:lang w:val="en-GB" w:eastAsia="en-US"/>
        </w:rPr>
        <w:t>eNB</w:t>
      </w:r>
      <w:proofErr w:type="spellEnd"/>
      <w:r>
        <w:rPr>
          <w:i/>
          <w:iCs/>
          <w:kern w:val="0"/>
          <w:sz w:val="20"/>
          <w:lang w:val="en-GB" w:eastAsia="en-US"/>
        </w:rPr>
        <w:t xml:space="preserve"> in its scheduling to avoid UL-DL collisions in FDD-HD.</w:t>
      </w:r>
    </w:p>
    <w:p w:rsidR="001B2A35" w:rsidRDefault="00655E0C">
      <w:pPr>
        <w:widowControl/>
        <w:spacing w:beforeLines="50" w:before="156"/>
        <w:jc w:val="left"/>
        <w:rPr>
          <w:i/>
          <w:iCs/>
          <w:kern w:val="0"/>
          <w:sz w:val="20"/>
          <w:highlight w:val="green"/>
          <w:lang w:val="en-GB" w:eastAsia="en-US"/>
        </w:rPr>
      </w:pPr>
      <w:r>
        <w:rPr>
          <w:i/>
          <w:iCs/>
          <w:kern w:val="0"/>
          <w:sz w:val="20"/>
          <w:highlight w:val="green"/>
          <w:lang w:val="en-GB" w:eastAsia="en-US"/>
        </w:rPr>
        <w:t>Agreement:</w:t>
      </w:r>
    </w:p>
    <w:p w:rsidR="001B2A35" w:rsidRDefault="00655E0C">
      <w:pPr>
        <w:widowControl/>
        <w:jc w:val="left"/>
        <w:rPr>
          <w:i/>
          <w:iCs/>
          <w:kern w:val="0"/>
          <w:sz w:val="20"/>
          <w:lang w:val="en-GB" w:eastAsia="en-US"/>
        </w:rPr>
      </w:pPr>
      <w:r>
        <w:rPr>
          <w:i/>
          <w:iCs/>
          <w:kern w:val="0"/>
          <w:sz w:val="20"/>
          <w:lang w:val="en-GB" w:eastAsia="en-US"/>
        </w:rPr>
        <w:t>The following aspects of Koffset are not to be studied further and can at least rely on decisions made in the NR NTN WI:</w:t>
      </w:r>
    </w:p>
    <w:p w:rsidR="001B2A35" w:rsidRDefault="00655E0C">
      <w:pPr>
        <w:widowControl/>
        <w:numPr>
          <w:ilvl w:val="0"/>
          <w:numId w:val="6"/>
        </w:numPr>
        <w:jc w:val="left"/>
        <w:rPr>
          <w:i/>
          <w:iCs/>
          <w:kern w:val="0"/>
          <w:sz w:val="20"/>
          <w:lang w:val="en-GB" w:eastAsia="en-US"/>
        </w:rPr>
      </w:pPr>
      <w:r>
        <w:rPr>
          <w:i/>
          <w:iCs/>
          <w:kern w:val="0"/>
          <w:sz w:val="20"/>
          <w:lang w:val="en-GB" w:eastAsia="en-US"/>
        </w:rPr>
        <w:t>Explicit or implicit indication in system information</w:t>
      </w:r>
    </w:p>
    <w:p w:rsidR="001B2A35" w:rsidRDefault="00655E0C">
      <w:pPr>
        <w:widowControl/>
        <w:numPr>
          <w:ilvl w:val="0"/>
          <w:numId w:val="6"/>
        </w:numPr>
        <w:jc w:val="left"/>
        <w:rPr>
          <w:sz w:val="20"/>
          <w:szCs w:val="20"/>
        </w:rPr>
      </w:pPr>
      <w:r>
        <w:rPr>
          <w:i/>
          <w:iCs/>
          <w:kern w:val="0"/>
          <w:sz w:val="20"/>
          <w:lang w:val="en-GB" w:eastAsia="en-US"/>
        </w:rPr>
        <w:t>Support UE-specific Koffset after initial access</w:t>
      </w:r>
    </w:p>
    <w:p w:rsidR="001B2A35" w:rsidRDefault="00655E0C">
      <w:pPr>
        <w:adjustRightInd w:val="0"/>
        <w:snapToGrid w:val="0"/>
        <w:spacing w:beforeLines="50" w:before="156" w:afterLines="100" w:after="312"/>
        <w:rPr>
          <w:sz w:val="20"/>
          <w:szCs w:val="20"/>
        </w:rPr>
      </w:pPr>
      <w:r>
        <w:rPr>
          <w:sz w:val="20"/>
          <w:szCs w:val="20"/>
        </w:rPr>
        <w:t xml:space="preserve">In this contribution, further discussion on the usage of UE-specific TA and/or K_offset for handling UL-DL collisions is provided. And impact of K_offset for configuration of UL signal is clarified based on previous discussion in [2]. Then other discussions related to GNSS measurement and UL transmission </w:t>
      </w:r>
      <w:r>
        <w:rPr>
          <w:rFonts w:hint="eastAsia"/>
          <w:sz w:val="20"/>
          <w:szCs w:val="20"/>
        </w:rPr>
        <w:t>g</w:t>
      </w:r>
      <w:r>
        <w:rPr>
          <w:sz w:val="20"/>
          <w:szCs w:val="20"/>
        </w:rPr>
        <w:t>ap are conducted.</w:t>
      </w:r>
    </w:p>
    <w:p w:rsidR="001B2A35" w:rsidRDefault="00655E0C">
      <w:pPr>
        <w:pStyle w:val="1"/>
        <w:keepNext w:val="0"/>
        <w:keepLines w:val="0"/>
        <w:widowControl w:val="0"/>
        <w:numPr>
          <w:ilvl w:val="0"/>
          <w:numId w:val="3"/>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val="en-US"/>
        </w:rPr>
        <w:t xml:space="preserve">Impact of large RTD/TA </w:t>
      </w:r>
    </w:p>
    <w:p w:rsidR="001B2A35" w:rsidRDefault="001B2A35">
      <w:pPr>
        <w:pStyle w:val="af2"/>
        <w:keepNext/>
        <w:keepLines/>
        <w:widowControl/>
        <w:numPr>
          <w:ilvl w:val="0"/>
          <w:numId w:val="7"/>
        </w:numPr>
        <w:overflowPunct w:val="0"/>
        <w:autoSpaceDE w:val="0"/>
        <w:autoSpaceDN w:val="0"/>
        <w:adjustRightInd w:val="0"/>
        <w:spacing w:before="180" w:after="180"/>
        <w:ind w:firstLineChars="0"/>
        <w:jc w:val="left"/>
        <w:textAlignment w:val="baseline"/>
        <w:outlineLvl w:val="1"/>
        <w:rPr>
          <w:vanish/>
          <w:kern w:val="0"/>
          <w:sz w:val="24"/>
        </w:rPr>
      </w:pPr>
    </w:p>
    <w:p w:rsidR="001B2A35" w:rsidRDefault="001B2A35">
      <w:pPr>
        <w:pStyle w:val="af2"/>
        <w:keepNext/>
        <w:keepLines/>
        <w:widowControl/>
        <w:numPr>
          <w:ilvl w:val="0"/>
          <w:numId w:val="7"/>
        </w:numPr>
        <w:overflowPunct w:val="0"/>
        <w:autoSpaceDE w:val="0"/>
        <w:autoSpaceDN w:val="0"/>
        <w:adjustRightInd w:val="0"/>
        <w:spacing w:before="180" w:after="180"/>
        <w:ind w:firstLineChars="0"/>
        <w:jc w:val="left"/>
        <w:textAlignment w:val="baseline"/>
        <w:outlineLvl w:val="1"/>
        <w:rPr>
          <w:vanish/>
          <w:kern w:val="0"/>
          <w:sz w:val="24"/>
        </w:rPr>
      </w:pPr>
    </w:p>
    <w:p w:rsidR="001B2A35" w:rsidRDefault="00655E0C">
      <w:pPr>
        <w:pStyle w:val="af2"/>
        <w:keepNext/>
        <w:keepLines/>
        <w:widowControl/>
        <w:numPr>
          <w:ilvl w:val="0"/>
          <w:numId w:val="7"/>
        </w:numPr>
        <w:overflowPunct w:val="0"/>
        <w:autoSpaceDE w:val="0"/>
        <w:autoSpaceDN w:val="0"/>
        <w:adjustRightInd w:val="0"/>
        <w:spacing w:before="180" w:after="180"/>
        <w:ind w:firstLineChars="0"/>
        <w:jc w:val="left"/>
        <w:textAlignment w:val="baseline"/>
        <w:outlineLvl w:val="1"/>
        <w:rPr>
          <w:vanish/>
          <w:kern w:val="0"/>
          <w:sz w:val="24"/>
        </w:rPr>
      </w:pPr>
      <w:r>
        <w:rPr>
          <w:rFonts w:hint="eastAsia"/>
          <w:vanish/>
          <w:kern w:val="0"/>
          <w:sz w:val="24"/>
        </w:rPr>
        <w:t>2.1</w:t>
      </w:r>
    </w:p>
    <w:p w:rsidR="001B2A35" w:rsidRDefault="001B2A35">
      <w:pPr>
        <w:pStyle w:val="af2"/>
        <w:keepNext/>
        <w:keepLines/>
        <w:widowControl/>
        <w:numPr>
          <w:ilvl w:val="0"/>
          <w:numId w:val="7"/>
        </w:numPr>
        <w:overflowPunct w:val="0"/>
        <w:autoSpaceDE w:val="0"/>
        <w:autoSpaceDN w:val="0"/>
        <w:adjustRightInd w:val="0"/>
        <w:spacing w:before="180" w:after="180"/>
        <w:ind w:firstLineChars="0"/>
        <w:jc w:val="left"/>
        <w:textAlignment w:val="baseline"/>
        <w:outlineLvl w:val="1"/>
        <w:rPr>
          <w:vanish/>
          <w:kern w:val="0"/>
          <w:sz w:val="24"/>
        </w:rPr>
      </w:pPr>
    </w:p>
    <w:p w:rsidR="001B2A35" w:rsidRDefault="001B2A35">
      <w:pPr>
        <w:pStyle w:val="af2"/>
        <w:keepNext/>
        <w:keepLines/>
        <w:widowControl/>
        <w:numPr>
          <w:ilvl w:val="0"/>
          <w:numId w:val="7"/>
        </w:numPr>
        <w:overflowPunct w:val="0"/>
        <w:autoSpaceDE w:val="0"/>
        <w:autoSpaceDN w:val="0"/>
        <w:adjustRightInd w:val="0"/>
        <w:spacing w:before="180" w:after="180"/>
        <w:ind w:firstLineChars="0"/>
        <w:jc w:val="left"/>
        <w:textAlignment w:val="baseline"/>
        <w:outlineLvl w:val="1"/>
        <w:rPr>
          <w:vanish/>
          <w:kern w:val="0"/>
          <w:sz w:val="24"/>
        </w:rPr>
      </w:pPr>
    </w:p>
    <w:p w:rsidR="001B2A35" w:rsidRDefault="00655E0C">
      <w:pPr>
        <w:spacing w:beforeLines="50" w:before="156" w:afterLines="50" w:after="156"/>
        <w:jc w:val="left"/>
        <w:outlineLvl w:val="1"/>
        <w:rPr>
          <w:rFonts w:eastAsia="Arial Unicode MS"/>
          <w:sz w:val="24"/>
          <w:szCs w:val="32"/>
        </w:rPr>
      </w:pPr>
      <w:r>
        <w:rPr>
          <w:rFonts w:eastAsia="Arial Unicode MS"/>
          <w:sz w:val="24"/>
          <w:szCs w:val="32"/>
        </w:rPr>
        <w:t xml:space="preserve">2.1 </w:t>
      </w:r>
      <w:r>
        <w:rPr>
          <w:rFonts w:eastAsia="Arial Unicode MS" w:hint="eastAsia"/>
          <w:sz w:val="24"/>
          <w:szCs w:val="32"/>
        </w:rPr>
        <w:t>UL-DL collisions and PDCCH monitoring</w:t>
      </w:r>
    </w:p>
    <w:p w:rsidR="001B2A35" w:rsidRDefault="00655E0C">
      <w:pPr>
        <w:rPr>
          <w:i/>
          <w:iCs/>
          <w:sz w:val="20"/>
          <w:szCs w:val="20"/>
        </w:rPr>
      </w:pPr>
      <w:r>
        <w:rPr>
          <w:rFonts w:hint="eastAsia"/>
          <w:sz w:val="20"/>
          <w:szCs w:val="20"/>
        </w:rPr>
        <w:t xml:space="preserve">In NR-NTN or IoT over NTN, time relationships for DL-UL interaction need enhancement to enable UL scheduling with large RTD/TA effect. </w:t>
      </w:r>
      <w:r>
        <w:rPr>
          <w:sz w:val="20"/>
          <w:szCs w:val="20"/>
        </w:rPr>
        <w:t>Obviously</w:t>
      </w:r>
      <w:r>
        <w:rPr>
          <w:rFonts w:hint="eastAsia"/>
          <w:sz w:val="20"/>
          <w:szCs w:val="20"/>
        </w:rPr>
        <w:t xml:space="preserve">, the uplink transmission from a HD-FDD UE </w:t>
      </w:r>
      <w:r>
        <w:rPr>
          <w:sz w:val="20"/>
          <w:szCs w:val="20"/>
        </w:rPr>
        <w:t>cannot</w:t>
      </w:r>
      <w:r>
        <w:rPr>
          <w:rFonts w:hint="eastAsia"/>
          <w:sz w:val="20"/>
          <w:szCs w:val="20"/>
        </w:rPr>
        <w:t xml:space="preserve"> proceed or overlapped/collided with corresponding received downlink transmission. </w:t>
      </w:r>
      <w:r>
        <w:rPr>
          <w:sz w:val="20"/>
          <w:szCs w:val="20"/>
        </w:rPr>
        <w:t>According to the agreement in last me</w:t>
      </w:r>
      <w:r>
        <w:rPr>
          <w:rFonts w:hint="eastAsia"/>
          <w:sz w:val="20"/>
          <w:szCs w:val="20"/>
        </w:rPr>
        <w:t xml:space="preserve">eting, </w:t>
      </w:r>
      <w:r>
        <w:rPr>
          <w:rFonts w:hint="eastAsia"/>
          <w:sz w:val="20"/>
          <w:szCs w:val="20"/>
          <w:lang w:val="en-GB" w:eastAsia="en-US"/>
        </w:rPr>
        <w:t>UE-specific TA and/or K_offset are considered to handle this issue.</w:t>
      </w:r>
      <w:r>
        <w:rPr>
          <w:rFonts w:hint="eastAsia"/>
          <w:sz w:val="20"/>
          <w:szCs w:val="20"/>
        </w:rPr>
        <w:t xml:space="preserve"> </w:t>
      </w:r>
    </w:p>
    <w:p w:rsidR="001B2A35" w:rsidRDefault="00655E0C">
      <w:pPr>
        <w:pStyle w:val="af2"/>
        <w:adjustRightInd w:val="0"/>
        <w:snapToGrid w:val="0"/>
        <w:spacing w:beforeLines="50" w:before="156" w:afterLines="100" w:after="312"/>
        <w:ind w:firstLineChars="0" w:firstLine="0"/>
        <w:rPr>
          <w:sz w:val="20"/>
          <w:szCs w:val="20"/>
        </w:rPr>
      </w:pPr>
      <w:r>
        <w:rPr>
          <w:noProof/>
          <w:sz w:val="20"/>
          <w:szCs w:val="20"/>
        </w:rPr>
        <w:drawing>
          <wp:inline distT="0" distB="0" distL="114300" distR="114300">
            <wp:extent cx="5274310" cy="145224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5274310" cy="1452245"/>
                    </a:xfrm>
                    <a:prstGeom prst="rect">
                      <a:avLst/>
                    </a:prstGeom>
                    <a:noFill/>
                    <a:ln>
                      <a:noFill/>
                    </a:ln>
                  </pic:spPr>
                </pic:pic>
              </a:graphicData>
            </a:graphic>
          </wp:inline>
        </w:drawing>
      </w:r>
    </w:p>
    <w:p w:rsidR="001B2A35" w:rsidRDefault="00655E0C">
      <w:pPr>
        <w:pStyle w:val="af2"/>
        <w:numPr>
          <w:ilvl w:val="0"/>
          <w:numId w:val="8"/>
        </w:numPr>
        <w:adjustRightInd w:val="0"/>
        <w:snapToGrid w:val="0"/>
        <w:spacing w:beforeLines="50" w:before="156" w:afterLines="50" w:after="156"/>
        <w:ind w:firstLineChars="0"/>
        <w:jc w:val="center"/>
        <w:rPr>
          <w:sz w:val="20"/>
          <w:szCs w:val="20"/>
        </w:rPr>
      </w:pPr>
      <w:r>
        <w:rPr>
          <w:sz w:val="20"/>
          <w:szCs w:val="20"/>
        </w:rPr>
        <w:t>K_offset matching with the largest TA in cell/beam specific level</w:t>
      </w:r>
    </w:p>
    <w:p w:rsidR="001B2A35" w:rsidRDefault="00655E0C">
      <w:pPr>
        <w:pStyle w:val="af2"/>
        <w:keepNext/>
        <w:adjustRightInd w:val="0"/>
        <w:snapToGrid w:val="0"/>
        <w:spacing w:beforeLines="50" w:before="156" w:afterLines="50" w:after="156"/>
        <w:ind w:firstLineChars="0" w:firstLine="0"/>
      </w:pPr>
      <w:r>
        <w:rPr>
          <w:noProof/>
          <w:sz w:val="20"/>
          <w:szCs w:val="20"/>
        </w:rPr>
        <w:lastRenderedPageBreak/>
        <w:drawing>
          <wp:inline distT="0" distB="0" distL="114300" distR="114300">
            <wp:extent cx="5273040" cy="1380490"/>
            <wp:effectExtent l="0" t="0" r="381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5273040" cy="1380490"/>
                    </a:xfrm>
                    <a:prstGeom prst="rect">
                      <a:avLst/>
                    </a:prstGeom>
                    <a:noFill/>
                    <a:ln>
                      <a:noFill/>
                    </a:ln>
                  </pic:spPr>
                </pic:pic>
              </a:graphicData>
            </a:graphic>
          </wp:inline>
        </w:drawing>
      </w:r>
    </w:p>
    <w:p w:rsidR="001B2A35" w:rsidRDefault="00655E0C">
      <w:pPr>
        <w:pStyle w:val="af2"/>
        <w:numPr>
          <w:ilvl w:val="0"/>
          <w:numId w:val="8"/>
        </w:numPr>
        <w:adjustRightInd w:val="0"/>
        <w:snapToGrid w:val="0"/>
        <w:spacing w:beforeLines="50" w:before="156" w:afterLines="50" w:after="156"/>
        <w:ind w:firstLineChars="0"/>
        <w:jc w:val="center"/>
        <w:rPr>
          <w:sz w:val="20"/>
          <w:szCs w:val="20"/>
        </w:rPr>
      </w:pPr>
      <w:r>
        <w:rPr>
          <w:sz w:val="20"/>
          <w:szCs w:val="20"/>
        </w:rPr>
        <w:t>K_offset matching with the UE specific TA</w:t>
      </w:r>
    </w:p>
    <w:p w:rsidR="001B2A35" w:rsidRDefault="00655E0C">
      <w:pPr>
        <w:pStyle w:val="a3"/>
        <w:tabs>
          <w:tab w:val="left" w:pos="5538"/>
        </w:tabs>
        <w:jc w:val="center"/>
        <w:rPr>
          <w:rFonts w:ascii="Times New Roman" w:hAnsi="Times New Roman" w:cs="Times New Roman"/>
        </w:rPr>
      </w:pPr>
      <w:bookmarkStart w:id="5" w:name="_Ref71207986"/>
      <w:bookmarkStart w:id="6" w:name="_Ref1196"/>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bookmarkEnd w:id="5"/>
      <w:r>
        <w:rPr>
          <w:rFonts w:ascii="Times New Roman" w:hAnsi="Times New Roman" w:cs="Times New Roman"/>
        </w:rPr>
        <w:t xml:space="preserve"> Illustration of the timeline for scheduling and transmission</w:t>
      </w:r>
      <w:bookmarkEnd w:id="6"/>
    </w:p>
    <w:p w:rsidR="001B2A35" w:rsidRDefault="00655E0C">
      <w:pPr>
        <w:rPr>
          <w:sz w:val="20"/>
          <w:szCs w:val="20"/>
        </w:rPr>
      </w:pPr>
      <w:r>
        <w:rPr>
          <w:sz w:val="20"/>
          <w:szCs w:val="20"/>
        </w:rPr>
        <w:t xml:space="preserve">And as illustrated in </w:t>
      </w:r>
      <w:r>
        <w:rPr>
          <w:sz w:val="20"/>
          <w:szCs w:val="20"/>
        </w:rPr>
        <w:fldChar w:fldCharType="begin"/>
      </w:r>
      <w:r>
        <w:rPr>
          <w:sz w:val="20"/>
          <w:szCs w:val="20"/>
        </w:rPr>
        <w:instrText xml:space="preserve"> REF _Ref71207986 </w:instrText>
      </w:r>
      <w:r>
        <w:rPr>
          <w:sz w:val="20"/>
          <w:szCs w:val="20"/>
        </w:rPr>
        <w:fldChar w:fldCharType="separate"/>
      </w:r>
      <w:r>
        <w:rPr>
          <w:sz w:val="20"/>
          <w:szCs w:val="20"/>
        </w:rPr>
        <w:t>Figure 1</w:t>
      </w:r>
      <w:r>
        <w:rPr>
          <w:sz w:val="20"/>
          <w:szCs w:val="20"/>
        </w:rPr>
        <w:fldChar w:fldCharType="end"/>
      </w:r>
      <w:r>
        <w:rPr>
          <w:sz w:val="20"/>
          <w:szCs w:val="20"/>
        </w:rPr>
        <w:t>, it can be observed that with correct configuration of K_offset, the potential collision between the DL reception of scheduling DCI and corresponding UL transmission</w:t>
      </w:r>
      <w:r>
        <w:rPr>
          <w:rFonts w:hint="eastAsia"/>
          <w:sz w:val="20"/>
          <w:szCs w:val="20"/>
        </w:rPr>
        <w:t>s</w:t>
      </w:r>
      <w:r>
        <w:rPr>
          <w:sz w:val="20"/>
          <w:szCs w:val="20"/>
        </w:rPr>
        <w:t xml:space="preserve"> can be avoided with also consideration on the impacts of required half-duplex guard period as defined below:</w:t>
      </w:r>
    </w:p>
    <w:p w:rsidR="001B2A35" w:rsidRDefault="00655E0C">
      <w:pPr>
        <w:rPr>
          <w:i/>
          <w:kern w:val="0"/>
          <w:sz w:val="20"/>
          <w:szCs w:val="20"/>
        </w:rPr>
      </w:pPr>
      <w:r>
        <w:rPr>
          <w:i/>
          <w:sz w:val="20"/>
          <w:szCs w:val="20"/>
        </w:rPr>
        <w:t xml:space="preserve">For type B half-duplex FDD operation, guard periods, each referred to as a half-duplex guard subframe, </w:t>
      </w:r>
      <w:proofErr w:type="gramStart"/>
      <w:r>
        <w:rPr>
          <w:i/>
          <w:sz w:val="20"/>
          <w:szCs w:val="20"/>
        </w:rPr>
        <w:t>are</w:t>
      </w:r>
      <w:proofErr w:type="gramEnd"/>
      <w:r>
        <w:rPr>
          <w:i/>
          <w:sz w:val="20"/>
          <w:szCs w:val="20"/>
        </w:rPr>
        <w:t xml:space="preserve"> created by the UE by</w:t>
      </w:r>
    </w:p>
    <w:p w:rsidR="001B2A35" w:rsidRDefault="00655E0C">
      <w:pPr>
        <w:pStyle w:val="B1"/>
        <w:spacing w:after="0"/>
        <w:rPr>
          <w:i/>
          <w:sz w:val="20"/>
          <w:szCs w:val="20"/>
        </w:rPr>
      </w:pPr>
      <w:r>
        <w:rPr>
          <w:i/>
          <w:sz w:val="20"/>
          <w:szCs w:val="20"/>
        </w:rPr>
        <w:t>-</w:t>
      </w:r>
      <w:r>
        <w:rPr>
          <w:i/>
          <w:sz w:val="20"/>
          <w:szCs w:val="20"/>
        </w:rPr>
        <w:tab/>
      </w:r>
      <w:proofErr w:type="gramStart"/>
      <w:r>
        <w:rPr>
          <w:i/>
          <w:sz w:val="20"/>
          <w:szCs w:val="20"/>
        </w:rPr>
        <w:t>not</w:t>
      </w:r>
      <w:proofErr w:type="gramEnd"/>
      <w:r>
        <w:rPr>
          <w:i/>
          <w:sz w:val="20"/>
          <w:szCs w:val="20"/>
        </w:rPr>
        <w:t xml:space="preserve"> receiving a downlink subframe immediately preceding an uplink subframe from the same UE, and</w:t>
      </w:r>
    </w:p>
    <w:p w:rsidR="001B2A35" w:rsidRDefault="00655E0C">
      <w:pPr>
        <w:pStyle w:val="B1"/>
        <w:spacing w:after="0"/>
        <w:rPr>
          <w:i/>
          <w:sz w:val="20"/>
          <w:szCs w:val="20"/>
        </w:rPr>
      </w:pPr>
      <w:r>
        <w:rPr>
          <w:i/>
          <w:sz w:val="20"/>
          <w:szCs w:val="20"/>
        </w:rPr>
        <w:t>-</w:t>
      </w:r>
      <w:r>
        <w:rPr>
          <w:i/>
          <w:sz w:val="20"/>
          <w:szCs w:val="20"/>
        </w:rPr>
        <w:tab/>
      </w:r>
      <w:proofErr w:type="gramStart"/>
      <w:r>
        <w:rPr>
          <w:i/>
          <w:sz w:val="20"/>
          <w:szCs w:val="20"/>
        </w:rPr>
        <w:t>not</w:t>
      </w:r>
      <w:proofErr w:type="gramEnd"/>
      <w:r>
        <w:rPr>
          <w:i/>
          <w:sz w:val="20"/>
          <w:szCs w:val="20"/>
        </w:rPr>
        <w:t xml:space="preserve"> receiving a downlink subframe immediately following an uplink subframe from the same UE.</w:t>
      </w:r>
    </w:p>
    <w:p w:rsidR="001B2A35" w:rsidRDefault="00655E0C">
      <w:pPr>
        <w:pStyle w:val="af2"/>
        <w:adjustRightInd w:val="0"/>
        <w:snapToGrid w:val="0"/>
        <w:spacing w:beforeLines="50" w:before="156" w:afterLines="100" w:after="312"/>
        <w:ind w:firstLineChars="0" w:firstLine="0"/>
        <w:rPr>
          <w:i/>
          <w:iCs/>
          <w:sz w:val="20"/>
          <w:szCs w:val="20"/>
        </w:rPr>
      </w:pPr>
      <w:r>
        <w:rPr>
          <w:rFonts w:hint="eastAsia"/>
          <w:b/>
          <w:bCs/>
          <w:i/>
          <w:iCs/>
          <w:sz w:val="20"/>
          <w:szCs w:val="20"/>
        </w:rPr>
        <w:t>Observation-1:</w:t>
      </w:r>
      <w:r>
        <w:rPr>
          <w:rFonts w:hint="eastAsia"/>
          <w:sz w:val="20"/>
          <w:szCs w:val="20"/>
        </w:rPr>
        <w:t xml:space="preserve"> </w:t>
      </w:r>
      <w:r>
        <w:rPr>
          <w:rFonts w:hint="eastAsia"/>
          <w:i/>
          <w:iCs/>
          <w:sz w:val="20"/>
          <w:szCs w:val="20"/>
        </w:rPr>
        <w:t xml:space="preserve">Collision between UL </w:t>
      </w:r>
      <w:r>
        <w:rPr>
          <w:i/>
          <w:iCs/>
          <w:sz w:val="20"/>
          <w:szCs w:val="20"/>
        </w:rPr>
        <w:t>transmission</w:t>
      </w:r>
      <w:r>
        <w:rPr>
          <w:rFonts w:hint="eastAsia"/>
          <w:i/>
          <w:iCs/>
          <w:sz w:val="20"/>
          <w:szCs w:val="20"/>
        </w:rPr>
        <w:t>s and</w:t>
      </w:r>
      <w:r>
        <w:rPr>
          <w:i/>
          <w:iCs/>
          <w:sz w:val="20"/>
          <w:szCs w:val="20"/>
        </w:rPr>
        <w:t xml:space="preserve"> </w:t>
      </w:r>
      <w:r>
        <w:rPr>
          <w:rFonts w:hint="eastAsia"/>
          <w:i/>
          <w:iCs/>
          <w:sz w:val="20"/>
          <w:szCs w:val="20"/>
        </w:rPr>
        <w:t>corresponding downlink scheduling will be avoid</w:t>
      </w:r>
      <w:r>
        <w:rPr>
          <w:i/>
          <w:iCs/>
          <w:sz w:val="20"/>
          <w:szCs w:val="20"/>
        </w:rPr>
        <w:t>ed</w:t>
      </w:r>
      <w:r>
        <w:rPr>
          <w:rFonts w:hint="eastAsia"/>
          <w:i/>
          <w:iCs/>
          <w:sz w:val="20"/>
          <w:szCs w:val="20"/>
        </w:rPr>
        <w:t xml:space="preserve"> by </w:t>
      </w:r>
      <w:r>
        <w:rPr>
          <w:i/>
          <w:iCs/>
          <w:sz w:val="20"/>
          <w:szCs w:val="20"/>
        </w:rPr>
        <w:t xml:space="preserve">proper configuration of </w:t>
      </w:r>
      <w:r>
        <w:rPr>
          <w:rFonts w:hint="eastAsia"/>
          <w:i/>
          <w:iCs/>
          <w:sz w:val="20"/>
          <w:szCs w:val="20"/>
        </w:rPr>
        <w:t>K_offset</w:t>
      </w:r>
      <w:r>
        <w:rPr>
          <w:i/>
          <w:iCs/>
          <w:sz w:val="20"/>
          <w:szCs w:val="20"/>
        </w:rPr>
        <w:t>.</w:t>
      </w:r>
    </w:p>
    <w:p w:rsidR="001B2A35" w:rsidRDefault="00655E0C">
      <w:pPr>
        <w:pStyle w:val="af2"/>
        <w:adjustRightInd w:val="0"/>
        <w:snapToGrid w:val="0"/>
        <w:spacing w:beforeLines="50" w:before="156" w:afterLines="50" w:after="156"/>
        <w:ind w:firstLineChars="0" w:firstLine="0"/>
        <w:rPr>
          <w:sz w:val="20"/>
          <w:szCs w:val="20"/>
        </w:rPr>
      </w:pPr>
      <w:r>
        <w:rPr>
          <w:sz w:val="20"/>
          <w:szCs w:val="20"/>
        </w:rPr>
        <w:t xml:space="preserve">Furthermore, w.r.t the value of this K_offset, both cell/beam cell specific and UE specific value can be considered to achieve this purpose. But according to the comparison between (A) and (B) shown in the </w:t>
      </w:r>
      <w:r>
        <w:rPr>
          <w:sz w:val="20"/>
          <w:szCs w:val="20"/>
        </w:rPr>
        <w:fldChar w:fldCharType="begin"/>
      </w:r>
      <w:r>
        <w:rPr>
          <w:sz w:val="20"/>
          <w:szCs w:val="20"/>
        </w:rPr>
        <w:instrText xml:space="preserve"> REF _Ref71207986 </w:instrText>
      </w:r>
      <w:r>
        <w:rPr>
          <w:sz w:val="20"/>
          <w:szCs w:val="20"/>
        </w:rPr>
        <w:fldChar w:fldCharType="separate"/>
      </w:r>
      <w:r>
        <w:rPr>
          <w:sz w:val="20"/>
          <w:szCs w:val="20"/>
        </w:rPr>
        <w:t>Figure 1</w:t>
      </w:r>
      <w:r>
        <w:rPr>
          <w:sz w:val="20"/>
          <w:szCs w:val="20"/>
        </w:rPr>
        <w:fldChar w:fldCharType="end"/>
      </w:r>
      <w:r>
        <w:rPr>
          <w:sz w:val="20"/>
          <w:szCs w:val="20"/>
        </w:rPr>
        <w:t xml:space="preserve">, it can be found that by usage of the UE specific K_offset for following up scheduling, the latency can be further optimized for each UE comparing to the cell/beam specific value. </w:t>
      </w:r>
    </w:p>
    <w:p w:rsidR="001B2A35" w:rsidRDefault="00655E0C">
      <w:pPr>
        <w:pStyle w:val="af2"/>
        <w:adjustRightInd w:val="0"/>
        <w:snapToGrid w:val="0"/>
        <w:spacing w:beforeLines="50" w:before="156" w:afterLines="50" w:after="156"/>
        <w:ind w:firstLineChars="0" w:firstLine="0"/>
        <w:rPr>
          <w:i/>
          <w:iCs/>
          <w:sz w:val="20"/>
          <w:szCs w:val="20"/>
        </w:rPr>
      </w:pPr>
      <w:r>
        <w:rPr>
          <w:rFonts w:hint="eastAsia"/>
          <w:b/>
          <w:bCs/>
          <w:i/>
          <w:iCs/>
          <w:sz w:val="20"/>
          <w:szCs w:val="20"/>
        </w:rPr>
        <w:t>Observation-2:</w:t>
      </w:r>
      <w:r>
        <w:rPr>
          <w:rFonts w:hint="eastAsia"/>
          <w:sz w:val="20"/>
          <w:szCs w:val="20"/>
        </w:rPr>
        <w:t xml:space="preserve"> </w:t>
      </w:r>
      <w:r>
        <w:rPr>
          <w:i/>
          <w:sz w:val="20"/>
          <w:szCs w:val="20"/>
        </w:rPr>
        <w:t xml:space="preserve">Configuration of UE-specific K_offset based on the knowledge of UE-specific TA can further enhance the performance along with the handling of </w:t>
      </w:r>
      <w:r>
        <w:rPr>
          <w:i/>
          <w:iCs/>
          <w:sz w:val="20"/>
          <w:szCs w:val="20"/>
        </w:rPr>
        <w:t>UL-DL collision for FDD-HD UE.</w:t>
      </w:r>
    </w:p>
    <w:p w:rsidR="001B2A35" w:rsidRDefault="00655E0C">
      <w:pPr>
        <w:adjustRightInd w:val="0"/>
        <w:snapToGrid w:val="0"/>
        <w:spacing w:beforeLines="50" w:before="156" w:afterLines="100" w:after="312"/>
        <w:rPr>
          <w:i/>
          <w:iCs/>
          <w:sz w:val="20"/>
          <w:szCs w:val="20"/>
        </w:rPr>
      </w:pPr>
      <w:r>
        <w:rPr>
          <w:b/>
          <w:bCs/>
          <w:i/>
          <w:iCs/>
          <w:sz w:val="20"/>
          <w:szCs w:val="20"/>
        </w:rPr>
        <w:t>Proposal-</w:t>
      </w:r>
      <w:r>
        <w:rPr>
          <w:rFonts w:hint="eastAsia"/>
          <w:b/>
          <w:bCs/>
          <w:i/>
          <w:iCs/>
          <w:sz w:val="20"/>
          <w:szCs w:val="20"/>
        </w:rPr>
        <w:t>1</w:t>
      </w:r>
      <w:r>
        <w:rPr>
          <w:b/>
          <w:bCs/>
          <w:i/>
          <w:iCs/>
          <w:sz w:val="20"/>
          <w:szCs w:val="20"/>
        </w:rPr>
        <w:t xml:space="preserve">: </w:t>
      </w:r>
      <w:r>
        <w:rPr>
          <w:rFonts w:hint="eastAsia"/>
          <w:bCs/>
          <w:i/>
          <w:iCs/>
          <w:sz w:val="20"/>
          <w:szCs w:val="20"/>
        </w:rPr>
        <w:t>T</w:t>
      </w:r>
      <w:r>
        <w:rPr>
          <w:bCs/>
          <w:i/>
          <w:iCs/>
          <w:sz w:val="20"/>
          <w:szCs w:val="20"/>
        </w:rPr>
        <w:t>he TA report should be considered</w:t>
      </w:r>
      <w:r>
        <w:rPr>
          <w:rFonts w:hint="eastAsia"/>
          <w:bCs/>
          <w:i/>
          <w:iCs/>
          <w:sz w:val="20"/>
          <w:szCs w:val="20"/>
        </w:rPr>
        <w:t xml:space="preserve"> to avoid UL-DL collisions </w:t>
      </w:r>
      <w:r>
        <w:rPr>
          <w:bCs/>
          <w:i/>
          <w:iCs/>
          <w:sz w:val="20"/>
          <w:szCs w:val="20"/>
        </w:rPr>
        <w:t xml:space="preserve">by enabling the configuration of UE-specific K_offset for </w:t>
      </w:r>
      <w:r>
        <w:rPr>
          <w:rFonts w:hint="eastAsia"/>
          <w:bCs/>
          <w:i/>
          <w:iCs/>
          <w:sz w:val="20"/>
          <w:szCs w:val="20"/>
        </w:rPr>
        <w:t xml:space="preserve">FDD-HD UE. Details of </w:t>
      </w:r>
      <w:r>
        <w:rPr>
          <w:rFonts w:hint="eastAsia"/>
          <w:i/>
          <w:iCs/>
          <w:sz w:val="20"/>
          <w:szCs w:val="20"/>
        </w:rPr>
        <w:t>TA report should be considered in the normative work.</w:t>
      </w:r>
    </w:p>
    <w:p w:rsidR="001B2A35" w:rsidRDefault="00655E0C">
      <w:pPr>
        <w:adjustRightInd w:val="0"/>
        <w:snapToGrid w:val="0"/>
        <w:spacing w:beforeLines="50" w:before="156" w:afterLines="50" w:after="156"/>
        <w:rPr>
          <w:b/>
          <w:bCs/>
          <w:i/>
          <w:iCs/>
          <w:sz w:val="20"/>
          <w:szCs w:val="20"/>
        </w:rPr>
      </w:pPr>
      <w:r>
        <w:rPr>
          <w:sz w:val="20"/>
          <w:szCs w:val="20"/>
        </w:rPr>
        <w:t>Furthermore</w:t>
      </w:r>
      <w:r>
        <w:rPr>
          <w:rFonts w:hint="eastAsia"/>
          <w:sz w:val="20"/>
          <w:szCs w:val="20"/>
        </w:rPr>
        <w:t xml:space="preserve">, </w:t>
      </w:r>
      <w:r>
        <w:rPr>
          <w:sz w:val="20"/>
          <w:szCs w:val="20"/>
        </w:rPr>
        <w:t xml:space="preserve">since </w:t>
      </w:r>
      <w:r>
        <w:rPr>
          <w:rFonts w:hint="eastAsia"/>
          <w:sz w:val="20"/>
          <w:szCs w:val="20"/>
        </w:rPr>
        <w:t xml:space="preserve">it was agreed </w:t>
      </w:r>
      <w:r>
        <w:rPr>
          <w:sz w:val="20"/>
          <w:szCs w:val="20"/>
        </w:rPr>
        <w:t xml:space="preserve">segment pre-compensation may be needed for </w:t>
      </w:r>
      <w:r>
        <w:rPr>
          <w:rFonts w:hint="eastAsia"/>
          <w:sz w:val="20"/>
          <w:szCs w:val="20"/>
        </w:rPr>
        <w:t>a</w:t>
      </w:r>
      <w:r>
        <w:rPr>
          <w:sz w:val="20"/>
          <w:szCs w:val="20"/>
        </w:rPr>
        <w:t xml:space="preserve"> long </w:t>
      </w:r>
      <w:r>
        <w:rPr>
          <w:rFonts w:hint="eastAsia"/>
          <w:sz w:val="20"/>
          <w:szCs w:val="20"/>
        </w:rPr>
        <w:t>duration</w:t>
      </w:r>
      <w:r>
        <w:rPr>
          <w:sz w:val="20"/>
          <w:szCs w:val="20"/>
        </w:rPr>
        <w:t xml:space="preserve"> transmission in </w:t>
      </w:r>
      <w:r>
        <w:rPr>
          <w:rFonts w:hint="eastAsia"/>
          <w:sz w:val="20"/>
          <w:szCs w:val="20"/>
        </w:rPr>
        <w:t>IoT-</w:t>
      </w:r>
      <w:r>
        <w:rPr>
          <w:sz w:val="20"/>
          <w:szCs w:val="20"/>
        </w:rPr>
        <w:t>NTN, the proper time pre-compensation should be processed for each part of the long transmission, which corresponding to different accurate TA values for each segment.</w:t>
      </w:r>
      <w:r>
        <w:rPr>
          <w:rFonts w:hint="eastAsia"/>
          <w:sz w:val="20"/>
          <w:szCs w:val="20"/>
        </w:rPr>
        <w:t xml:space="preserve"> W.r.t TA report</w:t>
      </w:r>
      <w:r>
        <w:rPr>
          <w:sz w:val="20"/>
          <w:szCs w:val="20"/>
        </w:rPr>
        <w:t xml:space="preserve"> in this case, either the first or last TA value applied for corresponding </w:t>
      </w:r>
      <w:r>
        <w:rPr>
          <w:rFonts w:hint="eastAsia"/>
          <w:sz w:val="20"/>
          <w:szCs w:val="20"/>
        </w:rPr>
        <w:t>(N</w:t>
      </w:r>
      <w:proofErr w:type="gramStart"/>
      <w:r>
        <w:rPr>
          <w:rFonts w:hint="eastAsia"/>
          <w:sz w:val="20"/>
          <w:szCs w:val="20"/>
        </w:rPr>
        <w:t>)</w:t>
      </w:r>
      <w:r>
        <w:rPr>
          <w:sz w:val="20"/>
          <w:szCs w:val="20"/>
        </w:rPr>
        <w:t>PUSCH</w:t>
      </w:r>
      <w:proofErr w:type="gramEnd"/>
      <w:r>
        <w:rPr>
          <w:sz w:val="20"/>
          <w:szCs w:val="20"/>
        </w:rPr>
        <w:t xml:space="preserve"> segments can be reported [</w:t>
      </w:r>
      <w:r>
        <w:rPr>
          <w:rFonts w:hint="eastAsia"/>
          <w:sz w:val="20"/>
          <w:szCs w:val="20"/>
        </w:rPr>
        <w:t>3]</w:t>
      </w:r>
      <w:r>
        <w:rPr>
          <w:sz w:val="20"/>
          <w:szCs w:val="20"/>
        </w:rPr>
        <w:t>.</w:t>
      </w:r>
    </w:p>
    <w:p w:rsidR="001B2A35" w:rsidRDefault="00655E0C">
      <w:pPr>
        <w:adjustRightInd w:val="0"/>
        <w:snapToGrid w:val="0"/>
        <w:spacing w:beforeLines="50" w:before="156" w:afterLines="50" w:after="156"/>
        <w:rPr>
          <w:sz w:val="20"/>
          <w:szCs w:val="20"/>
        </w:rPr>
      </w:pPr>
      <w:r>
        <w:rPr>
          <w:b/>
          <w:bCs/>
          <w:i/>
          <w:iCs/>
          <w:sz w:val="20"/>
          <w:szCs w:val="20"/>
        </w:rPr>
        <w:t>Proposal-</w:t>
      </w:r>
      <w:r>
        <w:rPr>
          <w:rFonts w:hint="eastAsia"/>
          <w:b/>
          <w:bCs/>
          <w:i/>
          <w:iCs/>
          <w:sz w:val="20"/>
          <w:szCs w:val="20"/>
        </w:rPr>
        <w:t>2</w:t>
      </w:r>
      <w:r>
        <w:rPr>
          <w:b/>
          <w:bCs/>
          <w:i/>
          <w:iCs/>
          <w:sz w:val="20"/>
          <w:szCs w:val="20"/>
        </w:rPr>
        <w:t xml:space="preserve">: </w:t>
      </w:r>
      <w:r>
        <w:rPr>
          <w:bCs/>
          <w:i/>
          <w:iCs/>
          <w:sz w:val="20"/>
          <w:szCs w:val="20"/>
        </w:rPr>
        <w:t>In case of segment pre-compensation, the value of reported TA can be either the first or last TA values applied at corresponding segment.</w:t>
      </w:r>
    </w:p>
    <w:p w:rsidR="001B2A35" w:rsidRDefault="00655E0C">
      <w:pPr>
        <w:pStyle w:val="af2"/>
        <w:adjustRightInd w:val="0"/>
        <w:snapToGrid w:val="0"/>
        <w:spacing w:beforeLines="50" w:before="156" w:afterLines="50" w:after="156"/>
        <w:ind w:firstLineChars="0" w:firstLine="0"/>
        <w:rPr>
          <w:sz w:val="20"/>
          <w:szCs w:val="20"/>
        </w:rPr>
      </w:pPr>
      <w:r>
        <w:rPr>
          <w:rFonts w:hint="eastAsia"/>
          <w:sz w:val="20"/>
          <w:szCs w:val="20"/>
        </w:rPr>
        <w:t xml:space="preserve">When two HARQ-Processes is configured, according to </w:t>
      </w:r>
      <w:r>
        <w:rPr>
          <w:sz w:val="20"/>
          <w:szCs w:val="20"/>
        </w:rPr>
        <w:t>existing</w:t>
      </w:r>
      <w:r>
        <w:rPr>
          <w:rFonts w:hint="eastAsia"/>
          <w:sz w:val="20"/>
          <w:szCs w:val="20"/>
        </w:rPr>
        <w:t xml:space="preserve"> specification</w:t>
      </w:r>
      <w:r>
        <w:rPr>
          <w:sz w:val="20"/>
          <w:szCs w:val="20"/>
        </w:rPr>
        <w:t xml:space="preserve"> as below</w:t>
      </w:r>
      <w:r>
        <w:rPr>
          <w:rFonts w:hint="eastAsia"/>
          <w:sz w:val="20"/>
          <w:szCs w:val="20"/>
        </w:rPr>
        <w:t xml:space="preserve"> [5], </w:t>
      </w:r>
    </w:p>
    <w:p w:rsidR="001B2A35" w:rsidRDefault="00655E0C">
      <w:pPr>
        <w:widowControl/>
        <w:overflowPunct w:val="0"/>
        <w:autoSpaceDE w:val="0"/>
        <w:autoSpaceDN w:val="0"/>
        <w:adjustRightInd w:val="0"/>
        <w:spacing w:after="180"/>
        <w:jc w:val="left"/>
        <w:textAlignment w:val="baseline"/>
        <w:rPr>
          <w:rFonts w:eastAsia="Times New Roman"/>
          <w:i/>
          <w:iCs/>
          <w:kern w:val="0"/>
          <w:sz w:val="20"/>
          <w:szCs w:val="20"/>
          <w:lang w:val="en-GB" w:eastAsia="en-GB"/>
        </w:rPr>
      </w:pPr>
      <w:r>
        <w:rPr>
          <w:rStyle w:val="af1"/>
          <w:i/>
          <w:iCs/>
        </w:rPr>
        <w:t>”</w:t>
      </w:r>
      <w:r>
        <w:rPr>
          <w:rFonts w:eastAsia="Times New Roman"/>
          <w:i/>
          <w:iCs/>
          <w:kern w:val="0"/>
          <w:sz w:val="20"/>
          <w:szCs w:val="20"/>
          <w:lang w:val="en-GB" w:eastAsia="en-GB"/>
        </w:rPr>
        <w:t xml:space="preserve">For a NPDCCH UE-specific search space, if a NB-IoT UE is configured with higher layer parameter </w:t>
      </w:r>
      <w:proofErr w:type="spellStart"/>
      <w:r>
        <w:rPr>
          <w:rFonts w:eastAsia="Times New Roman"/>
          <w:i/>
          <w:iCs/>
          <w:kern w:val="0"/>
          <w:sz w:val="20"/>
          <w:szCs w:val="20"/>
          <w:lang w:val="en-GB" w:eastAsia="en-GB"/>
        </w:rPr>
        <w:t>twoHARQ-ProcessesConfig</w:t>
      </w:r>
      <w:proofErr w:type="spellEnd"/>
      <w:r>
        <w:rPr>
          <w:rFonts w:eastAsia="Times New Roman"/>
          <w:i/>
          <w:iCs/>
          <w:kern w:val="0"/>
          <w:sz w:val="20"/>
          <w:szCs w:val="20"/>
          <w:lang w:val="en-GB" w:eastAsia="en-GB"/>
        </w:rPr>
        <w:t xml:space="preserve"> or multi-TB-Unicast-</w:t>
      </w:r>
      <w:proofErr w:type="spellStart"/>
      <w:r>
        <w:rPr>
          <w:rFonts w:eastAsia="Times New Roman"/>
          <w:i/>
          <w:iCs/>
          <w:kern w:val="0"/>
          <w:sz w:val="20"/>
          <w:szCs w:val="20"/>
          <w:lang w:val="en-GB" w:eastAsia="en-GB"/>
        </w:rPr>
        <w:t>config</w:t>
      </w:r>
      <w:proofErr w:type="spellEnd"/>
      <w:r>
        <w:rPr>
          <w:rFonts w:eastAsia="Times New Roman"/>
          <w:i/>
          <w:iCs/>
          <w:kern w:val="0"/>
          <w:sz w:val="20"/>
          <w:szCs w:val="20"/>
          <w:lang w:val="en-GB" w:eastAsia="en-GB"/>
        </w:rPr>
        <w:t xml:space="preserve"> and if the NB-IoT UE detects NPDCCH with DCI Format N0 ending in subframe n, and if the corresponding NPUSCH format 1 transmission starts from </w:t>
      </w:r>
      <w:proofErr w:type="spellStart"/>
      <w:r>
        <w:rPr>
          <w:rFonts w:eastAsia="Times New Roman"/>
          <w:i/>
          <w:iCs/>
          <w:kern w:val="0"/>
          <w:sz w:val="20"/>
          <w:szCs w:val="20"/>
          <w:lang w:val="en-GB" w:eastAsia="en-GB"/>
        </w:rPr>
        <w:t>n+k</w:t>
      </w:r>
      <w:proofErr w:type="spellEnd"/>
      <w:r>
        <w:rPr>
          <w:rFonts w:eastAsia="Times New Roman"/>
          <w:i/>
          <w:iCs/>
          <w:kern w:val="0"/>
          <w:sz w:val="20"/>
          <w:szCs w:val="20"/>
          <w:lang w:val="en-GB" w:eastAsia="en-GB"/>
        </w:rPr>
        <w:t>,</w:t>
      </w:r>
    </w:p>
    <w:p w:rsidR="001B2A35" w:rsidRDefault="00655E0C">
      <w:pPr>
        <w:overflowPunct w:val="0"/>
        <w:autoSpaceDE w:val="0"/>
        <w:autoSpaceDN w:val="0"/>
        <w:adjustRightInd w:val="0"/>
        <w:spacing w:after="180"/>
        <w:ind w:left="568" w:hanging="284"/>
        <w:textAlignment w:val="baseline"/>
        <w:rPr>
          <w:rFonts w:eastAsia="Times New Roman"/>
          <w:i/>
          <w:iCs/>
          <w:lang w:val="en-GB" w:eastAsia="en-GB"/>
        </w:rPr>
      </w:pPr>
      <w:r>
        <w:rPr>
          <w:rFonts w:eastAsia="Times New Roman"/>
          <w:i/>
          <w:iCs/>
          <w:lang w:val="en-GB" w:eastAsia="en-GB"/>
        </w:rPr>
        <w:t>-</w:t>
      </w:r>
      <w:r>
        <w:rPr>
          <w:rFonts w:eastAsia="Times New Roman"/>
          <w:i/>
          <w:iCs/>
          <w:lang w:val="en-GB" w:eastAsia="en-GB"/>
        </w:rPr>
        <w:tab/>
        <w:t xml:space="preserve">the UE is not required to monitor an NPDCCH candidate in any subframe starting from subframe n+1 to subframe n+k-1 if the corresponding </w:t>
      </w:r>
      <w:r>
        <w:rPr>
          <w:rFonts w:eastAsia="等线"/>
          <w:i/>
          <w:iCs/>
          <w:lang w:val="en-GB"/>
        </w:rPr>
        <w:t>NPDCCH with DCI format N0 with CRC scrambled by C-RNTI</w:t>
      </w:r>
      <w:r>
        <w:rPr>
          <w:rFonts w:eastAsia="Times New Roman"/>
          <w:i/>
          <w:iCs/>
          <w:lang w:val="en-GB" w:eastAsia="en-GB"/>
        </w:rPr>
        <w:t xml:space="preserve"> schedules </w:t>
      </w:r>
      <w:r>
        <w:rPr>
          <w:rFonts w:eastAsia="等线" w:hint="eastAsia"/>
          <w:i/>
          <w:iCs/>
          <w:lang w:val="en-GB"/>
        </w:rPr>
        <w:t>two transport blocks</w:t>
      </w:r>
      <w:r>
        <w:rPr>
          <w:rFonts w:eastAsia="Times New Roman"/>
          <w:i/>
          <w:iCs/>
          <w:lang w:val="en-GB" w:eastAsia="en-GB"/>
        </w:rPr>
        <w:t xml:space="preserve"> as</w:t>
      </w:r>
      <w:r>
        <w:rPr>
          <w:rFonts w:hint="eastAsia"/>
          <w:i/>
          <w:iCs/>
          <w:lang w:val="en-GB"/>
        </w:rPr>
        <w:t xml:space="preserve"> determined by the </w:t>
      </w:r>
      <w:r>
        <w:rPr>
          <w:rFonts w:eastAsia="Times New Roman"/>
          <w:i/>
          <w:iCs/>
          <w:lang w:val="en-GB"/>
        </w:rPr>
        <w:t xml:space="preserve">number of </w:t>
      </w:r>
      <w:r>
        <w:rPr>
          <w:rFonts w:eastAsia="Times New Roman"/>
          <w:i/>
          <w:iCs/>
          <w:lang w:val="en-GB"/>
        </w:rPr>
        <w:lastRenderedPageBreak/>
        <w:t>scheduled TB</w:t>
      </w:r>
      <w:r>
        <w:rPr>
          <w:rFonts w:hint="eastAsia"/>
          <w:i/>
          <w:iCs/>
          <w:lang w:val="en-GB"/>
        </w:rPr>
        <w:t xml:space="preserve"> </w:t>
      </w:r>
      <w:r>
        <w:rPr>
          <w:i/>
          <w:iCs/>
          <w:lang w:val="en-GB"/>
        </w:rPr>
        <w:t xml:space="preserve">field, if present, </w:t>
      </w:r>
      <w:r>
        <w:rPr>
          <w:rFonts w:eastAsia="Times New Roman"/>
          <w:i/>
          <w:iCs/>
          <w:lang w:val="en-GB" w:eastAsia="en-GB"/>
        </w:rPr>
        <w:t>the UE is not required to monitor an NPDCCH candidate in any subframe starting from subframe n+k-2 to subframe n+k-1 otherwise; and</w:t>
      </w:r>
    </w:p>
    <w:p w:rsidR="001B2A35" w:rsidRDefault="00655E0C">
      <w:pPr>
        <w:numPr>
          <w:ilvl w:val="0"/>
          <w:numId w:val="9"/>
        </w:numPr>
        <w:overflowPunct w:val="0"/>
        <w:autoSpaceDE w:val="0"/>
        <w:autoSpaceDN w:val="0"/>
        <w:adjustRightInd w:val="0"/>
        <w:spacing w:after="180"/>
        <w:ind w:left="576" w:hanging="288"/>
        <w:textAlignment w:val="baseline"/>
        <w:rPr>
          <w:sz w:val="20"/>
          <w:szCs w:val="20"/>
        </w:rPr>
      </w:pPr>
      <w:r>
        <w:rPr>
          <w:rFonts w:eastAsia="Times New Roman"/>
          <w:i/>
          <w:iCs/>
          <w:lang w:val="en-GB" w:eastAsia="en-GB"/>
        </w:rPr>
        <w:t xml:space="preserve">the UE does not expect to receive a DCI Format N0 before subframe n+k-2 for which the corresponding NPUSCH format 1 transmission ends later than subframe n+k+255 if the corresponding </w:t>
      </w:r>
      <w:r>
        <w:rPr>
          <w:rFonts w:eastAsia="等线"/>
          <w:i/>
          <w:iCs/>
          <w:lang w:val="en-GB"/>
        </w:rPr>
        <w:t>NPDCCH with DCI format N0 schedules one transport block</w:t>
      </w:r>
      <w:r>
        <w:rPr>
          <w:rFonts w:eastAsia="Times New Roman"/>
          <w:i/>
          <w:iCs/>
          <w:lang w:val="en-GB" w:eastAsia="en-GB"/>
        </w:rPr>
        <w:t xml:space="preserve">. </w:t>
      </w:r>
      <w:r>
        <w:rPr>
          <w:i/>
          <w:iCs/>
        </w:rPr>
        <w:t>”</w:t>
      </w:r>
    </w:p>
    <w:p w:rsidR="001B2A35" w:rsidRDefault="00655E0C">
      <w:pPr>
        <w:pStyle w:val="af2"/>
        <w:adjustRightInd w:val="0"/>
        <w:snapToGrid w:val="0"/>
        <w:spacing w:beforeLines="50" w:before="156" w:afterLines="50" w:after="156"/>
        <w:ind w:firstLineChars="0" w:firstLine="0"/>
        <w:rPr>
          <w:sz w:val="20"/>
          <w:szCs w:val="20"/>
        </w:rPr>
      </w:pPr>
      <w:r>
        <w:rPr>
          <w:rFonts w:hint="eastAsia"/>
          <w:sz w:val="20"/>
          <w:szCs w:val="20"/>
        </w:rPr>
        <w:t>i</w:t>
      </w:r>
      <w:r>
        <w:rPr>
          <w:sz w:val="20"/>
          <w:szCs w:val="20"/>
        </w:rPr>
        <w:t xml:space="preserve">t can be found that </w:t>
      </w:r>
      <w:r>
        <w:rPr>
          <w:rFonts w:hint="eastAsia"/>
          <w:sz w:val="20"/>
          <w:szCs w:val="20"/>
        </w:rPr>
        <w:t xml:space="preserve">for single TB unicast, before subframe n+k-2(assume NPUSCH transmission of 1st HARQ process start from </w:t>
      </w:r>
      <w:proofErr w:type="spellStart"/>
      <w:r>
        <w:rPr>
          <w:rFonts w:hint="eastAsia"/>
          <w:sz w:val="20"/>
          <w:szCs w:val="20"/>
        </w:rPr>
        <w:t>n+k</w:t>
      </w:r>
      <w:proofErr w:type="spellEnd"/>
      <w:r>
        <w:rPr>
          <w:rFonts w:hint="eastAsia"/>
          <w:sz w:val="20"/>
          <w:szCs w:val="20"/>
        </w:rPr>
        <w:t>)</w:t>
      </w:r>
      <w:r>
        <w:rPr>
          <w:sz w:val="20"/>
          <w:szCs w:val="20"/>
        </w:rPr>
        <w:t xml:space="preserve">, </w:t>
      </w:r>
      <w:r>
        <w:rPr>
          <w:rFonts w:hint="eastAsia"/>
          <w:sz w:val="20"/>
          <w:szCs w:val="20"/>
        </w:rPr>
        <w:t>a UE can continue monitoring the NPDCCH candidate which schedules NPUSCH in a second HARQ process, and corresponding transmission will not exceed subframe n+k+255.</w:t>
      </w:r>
    </w:p>
    <w:p w:rsidR="001B2A35" w:rsidRDefault="00655E0C">
      <w:pPr>
        <w:pStyle w:val="af2"/>
        <w:adjustRightInd w:val="0"/>
        <w:snapToGrid w:val="0"/>
        <w:spacing w:beforeLines="50" w:before="156" w:afterLines="50" w:after="156"/>
        <w:ind w:firstLineChars="0" w:firstLine="0"/>
        <w:rPr>
          <w:sz w:val="20"/>
          <w:szCs w:val="20"/>
        </w:rPr>
      </w:pPr>
      <w:r>
        <w:rPr>
          <w:rFonts w:hint="eastAsia"/>
          <w:sz w:val="20"/>
          <w:szCs w:val="20"/>
        </w:rPr>
        <w:t xml:space="preserve">Basically restrictions can be reused in IoT over NTN, i.e., same constraint on monitoring PDCCH before UL transmission can be followed in the time interval </w:t>
      </w:r>
      <w:r>
        <w:rPr>
          <w:rFonts w:hint="eastAsia"/>
          <w:sz w:val="20"/>
          <w:szCs w:val="20"/>
          <w:lang w:val="en-GB" w:eastAsia="en-GB"/>
        </w:rPr>
        <w:t>starting from subframe n+k-2 to subframe n+k-1</w:t>
      </w:r>
      <w:r>
        <w:rPr>
          <w:rFonts w:hint="eastAsia"/>
          <w:sz w:val="20"/>
          <w:szCs w:val="20"/>
        </w:rPr>
        <w:t xml:space="preserve">, </w:t>
      </w:r>
      <w:r>
        <w:rPr>
          <w:sz w:val="20"/>
          <w:szCs w:val="20"/>
        </w:rPr>
        <w:t>which</w:t>
      </w:r>
      <w:r>
        <w:rPr>
          <w:rFonts w:hint="eastAsia"/>
          <w:sz w:val="20"/>
          <w:szCs w:val="20"/>
        </w:rPr>
        <w:t xml:space="preserve"> depends on UE capability similar to current IoT system.</w:t>
      </w:r>
    </w:p>
    <w:p w:rsidR="001B2A35" w:rsidRDefault="00655E0C">
      <w:pPr>
        <w:pStyle w:val="af2"/>
        <w:adjustRightInd w:val="0"/>
        <w:snapToGrid w:val="0"/>
        <w:spacing w:beforeLines="50" w:before="156" w:afterLines="50" w:after="156"/>
        <w:ind w:firstLineChars="0" w:firstLine="0"/>
        <w:rPr>
          <w:sz w:val="20"/>
          <w:szCs w:val="20"/>
        </w:rPr>
      </w:pPr>
      <w:r>
        <w:rPr>
          <w:rFonts w:hint="eastAsia"/>
          <w:sz w:val="20"/>
          <w:szCs w:val="20"/>
        </w:rPr>
        <w:t xml:space="preserve">However, it should be considered to adapt impact of introduction of K_offset due to large TA </w:t>
      </w:r>
      <w:proofErr w:type="spellStart"/>
      <w:r>
        <w:rPr>
          <w:rFonts w:hint="eastAsia"/>
          <w:sz w:val="20"/>
          <w:szCs w:val="20"/>
        </w:rPr>
        <w:t>effect.A</w:t>
      </w:r>
      <w:r>
        <w:rPr>
          <w:sz w:val="20"/>
          <w:szCs w:val="20"/>
        </w:rPr>
        <w:t>s</w:t>
      </w:r>
      <w:proofErr w:type="spellEnd"/>
      <w:r>
        <w:rPr>
          <w:sz w:val="20"/>
          <w:szCs w:val="20"/>
        </w:rPr>
        <w:t xml:space="preserve"> </w:t>
      </w:r>
      <w:r>
        <w:rPr>
          <w:sz w:val="20"/>
          <w:szCs w:val="20"/>
        </w:rPr>
        <w:fldChar w:fldCharType="begin"/>
      </w:r>
      <w:r>
        <w:rPr>
          <w:sz w:val="20"/>
          <w:szCs w:val="20"/>
        </w:rPr>
        <w:instrText xml:space="preserve"> REF _Ref6744 \h </w:instrText>
      </w:r>
      <w:r>
        <w:rPr>
          <w:sz w:val="20"/>
          <w:szCs w:val="20"/>
        </w:rPr>
      </w:r>
      <w:r>
        <w:rPr>
          <w:sz w:val="20"/>
          <w:szCs w:val="20"/>
        </w:rPr>
        <w:fldChar w:fldCharType="separate"/>
      </w:r>
      <w:r>
        <w:rPr>
          <w:sz w:val="20"/>
          <w:szCs w:val="20"/>
        </w:rPr>
        <w:t>Figure 2</w:t>
      </w:r>
      <w:r>
        <w:rPr>
          <w:sz w:val="20"/>
          <w:szCs w:val="20"/>
        </w:rPr>
        <w:fldChar w:fldCharType="end"/>
      </w:r>
      <w:r>
        <w:rPr>
          <w:sz w:val="20"/>
          <w:szCs w:val="20"/>
        </w:rPr>
        <w:t xml:space="preserve"> shown</w:t>
      </w:r>
      <w:r>
        <w:rPr>
          <w:rFonts w:hint="eastAsia"/>
          <w:sz w:val="20"/>
          <w:szCs w:val="20"/>
        </w:rPr>
        <w:t xml:space="preserve">, e.g., assume NPUSCH transmission of 1st HARQ process start from </w:t>
      </w:r>
      <w:proofErr w:type="spellStart"/>
      <w:r>
        <w:rPr>
          <w:rFonts w:hint="eastAsia"/>
          <w:sz w:val="20"/>
          <w:szCs w:val="20"/>
        </w:rPr>
        <w:t>n+k+K_offset</w:t>
      </w:r>
      <w:proofErr w:type="spellEnd"/>
      <w:r>
        <w:rPr>
          <w:rFonts w:hint="eastAsia"/>
          <w:sz w:val="20"/>
          <w:szCs w:val="20"/>
        </w:rPr>
        <w:t xml:space="preserve">, for single TB unicast case, UE can continue receiving 2nd DCI Format N0 before subframe n+k-2+ K_offset, and the scheduled NPUSCH of second HARQ process will not exceed UL subframe n+k+255 + K_offset. Then with the retained constraint in current specification, the collision between the UL transmission and potential 2nd PDCCH reception can be </w:t>
      </w:r>
      <w:r w:rsidR="00B10F58">
        <w:rPr>
          <w:sz w:val="20"/>
          <w:szCs w:val="20"/>
        </w:rPr>
        <w:t>avoided</w:t>
      </w:r>
      <w:r>
        <w:rPr>
          <w:rFonts w:hint="eastAsia"/>
          <w:sz w:val="20"/>
          <w:szCs w:val="20"/>
        </w:rPr>
        <w:t xml:space="preserve">. </w:t>
      </w:r>
    </w:p>
    <w:p w:rsidR="001B2A35" w:rsidRDefault="00655E0C">
      <w:pPr>
        <w:pStyle w:val="af2"/>
        <w:adjustRightInd w:val="0"/>
        <w:snapToGrid w:val="0"/>
        <w:spacing w:beforeLines="50" w:before="156" w:afterLines="50" w:after="156"/>
        <w:ind w:firstLineChars="0" w:firstLine="0"/>
        <w:rPr>
          <w:sz w:val="20"/>
          <w:szCs w:val="20"/>
          <w:highlight w:val="yellow"/>
        </w:rPr>
      </w:pPr>
      <w:r w:rsidRPr="00366B63">
        <w:rPr>
          <w:rFonts w:hint="eastAsia"/>
          <w:noProof/>
          <w:sz w:val="20"/>
          <w:szCs w:val="20"/>
        </w:rPr>
        <w:drawing>
          <wp:inline distT="0" distB="0" distL="114300" distR="114300">
            <wp:extent cx="5271135" cy="2277745"/>
            <wp:effectExtent l="0" t="0" r="5715" b="825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1"/>
                    <a:stretch>
                      <a:fillRect/>
                    </a:stretch>
                  </pic:blipFill>
                  <pic:spPr>
                    <a:xfrm>
                      <a:off x="0" y="0"/>
                      <a:ext cx="5271135" cy="2277745"/>
                    </a:xfrm>
                    <a:prstGeom prst="rect">
                      <a:avLst/>
                    </a:prstGeom>
                    <a:noFill/>
                    <a:ln>
                      <a:noFill/>
                    </a:ln>
                  </pic:spPr>
                </pic:pic>
              </a:graphicData>
            </a:graphic>
          </wp:inline>
        </w:drawing>
      </w:r>
    </w:p>
    <w:p w:rsidR="001B2A35" w:rsidRDefault="00655E0C">
      <w:pPr>
        <w:pStyle w:val="a3"/>
        <w:jc w:val="center"/>
      </w:pPr>
      <w:bookmarkStart w:id="7" w:name="_Ref6744"/>
      <w:r>
        <w:rPr>
          <w:rFonts w:ascii="Times New Roman" w:hAnsi="Times New Roman" w:cs="Times New Roman"/>
        </w:rPr>
        <w:t xml:space="preserve">Figure </w:t>
      </w:r>
      <w:r>
        <w:fldChar w:fldCharType="begin"/>
      </w:r>
      <w:r>
        <w:rPr>
          <w:rFonts w:ascii="Times New Roman" w:hAnsi="Times New Roman" w:cs="Times New Roman"/>
        </w:rPr>
        <w:instrText xml:space="preserve"> SEQ Figure \* ARABIC </w:instrText>
      </w:r>
      <w:r>
        <w:fldChar w:fldCharType="separate"/>
      </w:r>
      <w:r>
        <w:rPr>
          <w:rFonts w:ascii="Times New Roman" w:hAnsi="Times New Roman" w:cs="Times New Roman"/>
        </w:rPr>
        <w:t>2</w:t>
      </w:r>
      <w:r>
        <w:fldChar w:fldCharType="end"/>
      </w:r>
      <w:r>
        <w:rPr>
          <w:rFonts w:ascii="Times New Roman" w:hAnsi="Times New Roman" w:cs="Times New Roman"/>
        </w:rPr>
        <w:t xml:space="preserve"> Illustration of</w:t>
      </w:r>
      <w:r>
        <w:rPr>
          <w:rFonts w:ascii="Times New Roman" w:hAnsi="Times New Roman" w:cs="Times New Roman" w:hint="eastAsia"/>
        </w:rPr>
        <w:t xml:space="preserve"> adapting to impact of introduction of K_offset</w:t>
      </w:r>
      <w:bookmarkEnd w:id="7"/>
    </w:p>
    <w:p w:rsidR="001B2A35" w:rsidRDefault="00655E0C">
      <w:pPr>
        <w:adjustRightInd w:val="0"/>
        <w:snapToGrid w:val="0"/>
        <w:spacing w:beforeLines="50" w:before="156" w:afterLines="50" w:after="156"/>
        <w:rPr>
          <w:i/>
          <w:iCs/>
          <w:sz w:val="20"/>
          <w:szCs w:val="20"/>
        </w:rPr>
      </w:pPr>
      <w:r>
        <w:rPr>
          <w:rFonts w:hint="eastAsia"/>
          <w:b/>
          <w:bCs/>
          <w:i/>
          <w:iCs/>
          <w:sz w:val="20"/>
          <w:szCs w:val="20"/>
        </w:rPr>
        <w:t>Proposal-3:</w:t>
      </w:r>
      <w:r>
        <w:rPr>
          <w:rFonts w:hint="eastAsia"/>
          <w:sz w:val="20"/>
          <w:szCs w:val="20"/>
        </w:rPr>
        <w:t xml:space="preserve"> </w:t>
      </w:r>
      <w:r>
        <w:rPr>
          <w:rFonts w:hint="eastAsia"/>
          <w:i/>
          <w:iCs/>
          <w:sz w:val="20"/>
          <w:szCs w:val="20"/>
        </w:rPr>
        <w:t xml:space="preserve">Current restrictions on NPDCCH monitoring in specification can be reused with </w:t>
      </w:r>
      <w:r w:rsidR="00B10F58">
        <w:rPr>
          <w:rFonts w:hint="eastAsia"/>
          <w:i/>
          <w:iCs/>
          <w:sz w:val="20"/>
          <w:szCs w:val="20"/>
        </w:rPr>
        <w:t>specification</w:t>
      </w:r>
      <w:r w:rsidR="00B10F58">
        <w:rPr>
          <w:i/>
          <w:iCs/>
          <w:sz w:val="20"/>
          <w:szCs w:val="20"/>
        </w:rPr>
        <w:t xml:space="preserve"> </w:t>
      </w:r>
      <w:r w:rsidR="00B10F58">
        <w:rPr>
          <w:rFonts w:hint="eastAsia"/>
          <w:i/>
          <w:iCs/>
          <w:sz w:val="20"/>
          <w:szCs w:val="20"/>
        </w:rPr>
        <w:t>adjustment</w:t>
      </w:r>
      <w:r w:rsidR="00B10F58">
        <w:rPr>
          <w:i/>
          <w:iCs/>
          <w:sz w:val="20"/>
          <w:szCs w:val="20"/>
        </w:rPr>
        <w:t xml:space="preserve"> on the timing description after </w:t>
      </w:r>
      <w:r>
        <w:rPr>
          <w:rFonts w:hint="eastAsia"/>
          <w:i/>
          <w:iCs/>
          <w:sz w:val="20"/>
          <w:szCs w:val="20"/>
        </w:rPr>
        <w:t>introduction of K_offset.</w:t>
      </w:r>
    </w:p>
    <w:p w:rsidR="001B2A35" w:rsidRDefault="00655E0C" w:rsidP="00556AB4">
      <w:pPr>
        <w:spacing w:beforeLines="50" w:before="156" w:afterLines="50" w:after="156"/>
        <w:jc w:val="left"/>
        <w:outlineLvl w:val="1"/>
        <w:rPr>
          <w:rFonts w:eastAsia="Arial Unicode MS"/>
          <w:sz w:val="24"/>
          <w:szCs w:val="32"/>
        </w:rPr>
      </w:pPr>
      <w:r>
        <w:rPr>
          <w:rFonts w:eastAsia="Arial Unicode MS"/>
          <w:sz w:val="24"/>
          <w:szCs w:val="32"/>
        </w:rPr>
        <w:t>2.</w:t>
      </w:r>
      <w:r>
        <w:rPr>
          <w:rFonts w:eastAsia="Arial Unicode MS" w:hint="eastAsia"/>
          <w:sz w:val="24"/>
          <w:szCs w:val="32"/>
        </w:rPr>
        <w:t>2</w:t>
      </w:r>
      <w:r>
        <w:rPr>
          <w:rFonts w:eastAsia="Arial Unicode MS"/>
          <w:sz w:val="24"/>
          <w:szCs w:val="32"/>
        </w:rPr>
        <w:t xml:space="preserve"> </w:t>
      </w:r>
      <w:r>
        <w:rPr>
          <w:rFonts w:eastAsia="Arial Unicode MS" w:hint="eastAsia"/>
          <w:sz w:val="24"/>
          <w:szCs w:val="32"/>
        </w:rPr>
        <w:t>Impact of K_offset for configuration of UL signal</w:t>
      </w:r>
    </w:p>
    <w:p w:rsidR="001B2A35" w:rsidRDefault="00655E0C">
      <w:pPr>
        <w:pStyle w:val="af2"/>
        <w:adjustRightInd w:val="0"/>
        <w:snapToGrid w:val="0"/>
        <w:spacing w:beforeLines="50" w:before="156" w:afterLines="50" w:after="156"/>
        <w:ind w:firstLineChars="0" w:firstLine="0"/>
        <w:rPr>
          <w:sz w:val="20"/>
          <w:szCs w:val="20"/>
        </w:rPr>
      </w:pPr>
      <w:r>
        <w:rPr>
          <w:sz w:val="20"/>
          <w:szCs w:val="20"/>
        </w:rPr>
        <w:t>In last meeting [3], the impact of K_offset for configuration of UL signal was discussed without consensus. For this part, actually according to the following specification [</w:t>
      </w:r>
      <w:r>
        <w:rPr>
          <w:rFonts w:hint="eastAsia"/>
          <w:sz w:val="20"/>
          <w:szCs w:val="20"/>
        </w:rPr>
        <w:t>4]</w:t>
      </w:r>
      <w:r>
        <w:rPr>
          <w:sz w:val="20"/>
          <w:szCs w:val="20"/>
        </w:rPr>
        <w:t>:</w:t>
      </w:r>
    </w:p>
    <w:p w:rsidR="001B2A35" w:rsidRDefault="00655E0C">
      <w:pPr>
        <w:pStyle w:val="af2"/>
        <w:adjustRightInd w:val="0"/>
        <w:snapToGrid w:val="0"/>
        <w:spacing w:beforeLines="50" w:before="156" w:afterLines="50" w:after="156"/>
        <w:ind w:firstLineChars="0" w:firstLine="0"/>
        <w:rPr>
          <w:sz w:val="20"/>
          <w:szCs w:val="20"/>
        </w:rPr>
      </w:pPr>
      <w:r>
        <w:rPr>
          <w:rFonts w:eastAsiaTheme="minorEastAsia"/>
          <w:sz w:val="20"/>
          <w:szCs w:val="20"/>
        </w:rPr>
        <w:t xml:space="preserve"> “</w:t>
      </w:r>
      <w:r>
        <w:rPr>
          <w:rFonts w:eastAsiaTheme="minorEastAsia"/>
          <w:position w:val="-14"/>
          <w:sz w:val="20"/>
          <w:szCs w:val="20"/>
        </w:rPr>
        <w:object w:dxaOrig="4320" w:dyaOrig="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1.5pt" o:ole="">
            <v:imagedata r:id="rId12" o:title=""/>
          </v:shape>
          <o:OLEObject Type="Embed" ProgID="Equation.3" ShapeID="_x0000_i1025" DrawAspect="Content" ObjectID="_1682252771" r:id="rId13"/>
        </w:object>
      </w:r>
      <w:r>
        <w:rPr>
          <w:rFonts w:eastAsiaTheme="minorEastAsia" w:hint="eastAsia"/>
          <w:sz w:val="20"/>
          <w:szCs w:val="20"/>
        </w:rPr>
        <w:t>,</w:t>
      </w:r>
      <w:r>
        <w:rPr>
          <w:rFonts w:eastAsiaTheme="minorEastAsia"/>
          <w:sz w:val="20"/>
          <w:szCs w:val="20"/>
        </w:rPr>
        <w:t xml:space="preserve"> where </w:t>
      </w:r>
      <w:r>
        <w:rPr>
          <w:rFonts w:eastAsiaTheme="minorEastAsia"/>
          <w:position w:val="-10"/>
          <w:sz w:val="20"/>
          <w:szCs w:val="20"/>
        </w:rPr>
        <w:object w:dxaOrig="288" w:dyaOrig="288">
          <v:shape id="_x0000_i1026" type="#_x0000_t75" style="width:14.5pt;height:14.5pt" o:ole="">
            <v:imagedata r:id="rId14" o:title=""/>
          </v:shape>
          <o:OLEObject Type="Embed" ProgID="Equation.3" ShapeID="_x0000_i1026" DrawAspect="Content" ObjectID="_1682252772" r:id="rId15"/>
        </w:object>
      </w:r>
      <w:r>
        <w:rPr>
          <w:rFonts w:eastAsiaTheme="minorEastAsia"/>
          <w:sz w:val="20"/>
          <w:szCs w:val="20"/>
        </w:rPr>
        <w:t xml:space="preserve"> </w:t>
      </w:r>
      <w:r>
        <w:rPr>
          <w:sz w:val="20"/>
          <w:szCs w:val="20"/>
        </w:rPr>
        <w:t>is the first slot of the transmission of the codeword”</w:t>
      </w:r>
      <w:r>
        <w:rPr>
          <w:rFonts w:hint="eastAsia"/>
          <w:sz w:val="20"/>
          <w:szCs w:val="20"/>
        </w:rPr>
        <w:t>,</w:t>
      </w:r>
    </w:p>
    <w:p w:rsidR="001B2A35" w:rsidRDefault="00655E0C">
      <w:pPr>
        <w:pStyle w:val="af2"/>
        <w:adjustRightInd w:val="0"/>
        <w:snapToGrid w:val="0"/>
        <w:spacing w:beforeLines="50" w:before="156" w:afterLines="50" w:after="156"/>
        <w:ind w:firstLineChars="0" w:firstLine="0"/>
        <w:rPr>
          <w:rFonts w:eastAsiaTheme="minorEastAsia"/>
          <w:sz w:val="20"/>
          <w:szCs w:val="20"/>
        </w:rPr>
      </w:pPr>
      <w:r>
        <w:rPr>
          <w:sz w:val="20"/>
          <w:szCs w:val="20"/>
        </w:rPr>
        <w:t xml:space="preserve">It can be found that the </w:t>
      </w:r>
      <w:r>
        <w:rPr>
          <w:rFonts w:eastAsiaTheme="minorEastAsia"/>
          <w:bCs/>
          <w:sz w:val="20"/>
          <w:szCs w:val="20"/>
        </w:rPr>
        <w:t>calculation of initialization sequence</w:t>
      </w:r>
      <w:r>
        <w:rPr>
          <w:rFonts w:eastAsiaTheme="minorEastAsia" w:hint="eastAsia"/>
          <w:bCs/>
          <w:sz w:val="20"/>
          <w:szCs w:val="20"/>
        </w:rPr>
        <w:t xml:space="preserve"> for scrambling codeword of NPUSCH</w:t>
      </w:r>
      <w:r>
        <w:rPr>
          <w:rFonts w:eastAsiaTheme="minorEastAsia"/>
          <w:bCs/>
          <w:sz w:val="20"/>
          <w:szCs w:val="20"/>
        </w:rPr>
        <w:t xml:space="preserve"> is related to timing slot number, which is specified as “the first slot of transmission of codeword”. To ensuring the aligned understanding on this parameter, the logic timing is assumed for calculation, i.e.</w:t>
      </w:r>
      <w:r>
        <w:rPr>
          <w:sz w:val="20"/>
          <w:szCs w:val="20"/>
        </w:rPr>
        <w:t xml:space="preserve">, </w:t>
      </w:r>
      <w:r>
        <w:rPr>
          <w:i/>
          <w:iCs/>
          <w:sz w:val="20"/>
          <w:szCs w:val="20"/>
        </w:rPr>
        <w:t>n</w:t>
      </w:r>
      <w:r>
        <w:rPr>
          <w:i/>
          <w:iCs/>
          <w:sz w:val="20"/>
          <w:szCs w:val="20"/>
          <w:vertAlign w:val="subscript"/>
        </w:rPr>
        <w:t>s</w:t>
      </w:r>
      <w:r>
        <w:rPr>
          <w:sz w:val="20"/>
          <w:szCs w:val="20"/>
        </w:rPr>
        <w:t xml:space="preserve"> refers to </w:t>
      </w:r>
      <w:r>
        <w:rPr>
          <w:i/>
          <w:iCs/>
          <w:sz w:val="20"/>
          <w:szCs w:val="20"/>
        </w:rPr>
        <w:t>slot</w:t>
      </w:r>
      <w:r>
        <w:rPr>
          <w:rFonts w:hint="eastAsia"/>
          <w:i/>
          <w:iCs/>
          <w:sz w:val="20"/>
          <w:szCs w:val="20"/>
        </w:rPr>
        <w:t xml:space="preserve"> </w:t>
      </w:r>
      <w:proofErr w:type="spellStart"/>
      <w:r>
        <w:rPr>
          <w:i/>
          <w:iCs/>
          <w:sz w:val="20"/>
          <w:szCs w:val="20"/>
        </w:rPr>
        <w:t>n+k</w:t>
      </w:r>
      <w:proofErr w:type="spellEnd"/>
      <w:r>
        <w:rPr>
          <w:sz w:val="20"/>
          <w:szCs w:val="20"/>
        </w:rPr>
        <w:t xml:space="preserve"> </w:t>
      </w:r>
      <w:r>
        <w:rPr>
          <w:rFonts w:hint="eastAsia"/>
          <w:sz w:val="20"/>
          <w:szCs w:val="20"/>
        </w:rPr>
        <w:t>in the</w:t>
      </w:r>
      <w:r>
        <w:rPr>
          <w:sz w:val="20"/>
          <w:szCs w:val="20"/>
        </w:rPr>
        <w:t xml:space="preserve"> calculation. In NTN case, the same understanding can still be applied by interpreting the value as </w:t>
      </w:r>
      <w:proofErr w:type="spellStart"/>
      <w:r>
        <w:rPr>
          <w:rFonts w:eastAsiaTheme="minorEastAsia"/>
          <w:i/>
          <w:iCs/>
          <w:sz w:val="20"/>
          <w:szCs w:val="20"/>
        </w:rPr>
        <w:t>n+k+offset</w:t>
      </w:r>
      <w:proofErr w:type="spellEnd"/>
      <w:r>
        <w:rPr>
          <w:rFonts w:eastAsiaTheme="minorEastAsia"/>
          <w:sz w:val="20"/>
          <w:szCs w:val="20"/>
        </w:rPr>
        <w:t xml:space="preserve">. In this way, </w:t>
      </w:r>
      <w:r>
        <w:rPr>
          <w:rFonts w:eastAsiaTheme="minorEastAsia" w:hint="eastAsia"/>
          <w:sz w:val="20"/>
          <w:szCs w:val="20"/>
        </w:rPr>
        <w:t>no spec</w:t>
      </w:r>
      <w:r>
        <w:rPr>
          <w:rFonts w:eastAsiaTheme="minorEastAsia"/>
          <w:sz w:val="20"/>
          <w:szCs w:val="20"/>
        </w:rPr>
        <w:t>ification</w:t>
      </w:r>
      <w:r>
        <w:rPr>
          <w:rFonts w:eastAsiaTheme="minorEastAsia" w:hint="eastAsia"/>
          <w:sz w:val="20"/>
          <w:szCs w:val="20"/>
        </w:rPr>
        <w:t xml:space="preserve"> modification is expected</w:t>
      </w:r>
      <w:r>
        <w:rPr>
          <w:rFonts w:eastAsiaTheme="minorEastAsia"/>
          <w:sz w:val="20"/>
          <w:szCs w:val="20"/>
        </w:rPr>
        <w:t xml:space="preserve"> for the scrambling issue for NPUSCH and similar observation can be applied for SRS.</w:t>
      </w:r>
    </w:p>
    <w:p w:rsidR="001B2A35" w:rsidRDefault="00655E0C">
      <w:pPr>
        <w:rPr>
          <w:sz w:val="20"/>
          <w:szCs w:val="20"/>
        </w:rPr>
      </w:pPr>
      <w:r>
        <w:rPr>
          <w:b/>
          <w:bCs/>
          <w:i/>
          <w:iCs/>
          <w:sz w:val="20"/>
          <w:szCs w:val="20"/>
        </w:rPr>
        <w:t>Proposal</w:t>
      </w:r>
      <w:r>
        <w:rPr>
          <w:rFonts w:hint="eastAsia"/>
          <w:b/>
          <w:bCs/>
          <w:i/>
          <w:iCs/>
          <w:sz w:val="20"/>
          <w:szCs w:val="20"/>
        </w:rPr>
        <w:t>-4:</w:t>
      </w:r>
      <w:r>
        <w:rPr>
          <w:rFonts w:hint="eastAsia"/>
          <w:sz w:val="20"/>
          <w:szCs w:val="20"/>
        </w:rPr>
        <w:t xml:space="preserve"> </w:t>
      </w:r>
      <w:r>
        <w:rPr>
          <w:rFonts w:hint="eastAsia"/>
          <w:i/>
          <w:iCs/>
          <w:sz w:val="20"/>
          <w:szCs w:val="20"/>
        </w:rPr>
        <w:t xml:space="preserve">For NB-IoT over NTN, applying slot </w:t>
      </w:r>
      <w:proofErr w:type="spellStart"/>
      <w:r>
        <w:rPr>
          <w:rFonts w:hint="eastAsia"/>
          <w:i/>
          <w:iCs/>
          <w:sz w:val="20"/>
          <w:szCs w:val="20"/>
        </w:rPr>
        <w:t>n+k+offset</w:t>
      </w:r>
      <w:proofErr w:type="spellEnd"/>
      <w:r>
        <w:rPr>
          <w:rFonts w:hint="eastAsia"/>
          <w:i/>
          <w:iCs/>
          <w:sz w:val="20"/>
          <w:szCs w:val="20"/>
        </w:rPr>
        <w:t xml:space="preserve"> as the first slot of the transmission of the </w:t>
      </w:r>
      <w:r>
        <w:rPr>
          <w:i/>
          <w:iCs/>
          <w:sz w:val="20"/>
          <w:szCs w:val="20"/>
        </w:rPr>
        <w:lastRenderedPageBreak/>
        <w:t>codeword</w:t>
      </w:r>
      <w:r>
        <w:rPr>
          <w:rFonts w:hint="eastAsia"/>
          <w:i/>
          <w:iCs/>
          <w:sz w:val="20"/>
          <w:szCs w:val="20"/>
        </w:rPr>
        <w:t xml:space="preserve"> for scrambling initialization sequence calculation</w:t>
      </w:r>
      <w:r>
        <w:rPr>
          <w:i/>
          <w:iCs/>
          <w:sz w:val="20"/>
          <w:szCs w:val="20"/>
        </w:rPr>
        <w:t xml:space="preserve"> is expected without additional specification impacts</w:t>
      </w:r>
      <w:r>
        <w:rPr>
          <w:rFonts w:hint="eastAsia"/>
          <w:i/>
          <w:iCs/>
          <w:sz w:val="20"/>
          <w:szCs w:val="20"/>
        </w:rPr>
        <w:t>.</w:t>
      </w:r>
    </w:p>
    <w:p w:rsidR="001B2A35" w:rsidRDefault="00655E0C">
      <w:pPr>
        <w:numPr>
          <w:ilvl w:val="0"/>
          <w:numId w:val="3"/>
        </w:numPr>
        <w:tabs>
          <w:tab w:val="left" w:pos="432"/>
        </w:tabs>
        <w:autoSpaceDE w:val="0"/>
        <w:autoSpaceDN w:val="0"/>
        <w:adjustRightInd w:val="0"/>
        <w:snapToGrid w:val="0"/>
        <w:spacing w:beforeLines="50" w:before="156" w:afterLines="50" w:after="156"/>
        <w:ind w:left="431" w:hanging="431"/>
        <w:outlineLvl w:val="0"/>
        <w:rPr>
          <w:rFonts w:ascii="Arial" w:eastAsia="黑体" w:hAnsi="Arial"/>
          <w:b/>
          <w:bCs/>
          <w:sz w:val="28"/>
          <w:szCs w:val="30"/>
        </w:rPr>
      </w:pPr>
      <w:r>
        <w:rPr>
          <w:rFonts w:ascii="Arial" w:eastAsia="黑体" w:hAnsi="Arial"/>
          <w:b/>
          <w:bCs/>
          <w:sz w:val="28"/>
          <w:szCs w:val="30"/>
        </w:rPr>
        <w:t>Discussion on the other reaming t</w:t>
      </w:r>
      <w:r>
        <w:rPr>
          <w:rFonts w:ascii="Arial" w:eastAsia="黑体" w:hAnsi="Arial" w:hint="eastAsia"/>
          <w:b/>
          <w:bCs/>
          <w:sz w:val="28"/>
          <w:szCs w:val="30"/>
        </w:rPr>
        <w:t>ime relationships</w:t>
      </w:r>
    </w:p>
    <w:p w:rsidR="001B2A35" w:rsidRDefault="00655E0C">
      <w:pPr>
        <w:adjustRightInd w:val="0"/>
        <w:snapToGrid w:val="0"/>
        <w:spacing w:beforeLines="50" w:before="156" w:afterLines="50" w:after="156"/>
        <w:rPr>
          <w:sz w:val="20"/>
          <w:szCs w:val="20"/>
        </w:rPr>
      </w:pPr>
      <w:r>
        <w:rPr>
          <w:sz w:val="20"/>
          <w:szCs w:val="20"/>
        </w:rPr>
        <w:t>In previous meeting, discussion on some cases are also conducted without consensus on the necessity, further discussion on corresponding aspects are listed as below:</w:t>
      </w:r>
    </w:p>
    <w:p w:rsidR="001B2A35" w:rsidRDefault="00655E0C">
      <w:pPr>
        <w:numPr>
          <w:ilvl w:val="0"/>
          <w:numId w:val="10"/>
        </w:numPr>
        <w:adjustRightInd w:val="0"/>
        <w:snapToGrid w:val="0"/>
        <w:spacing w:beforeLines="50" w:before="156" w:afterLines="50" w:after="156"/>
        <w:rPr>
          <w:sz w:val="20"/>
          <w:szCs w:val="20"/>
        </w:rPr>
      </w:pPr>
      <w:r>
        <w:rPr>
          <w:rFonts w:hint="eastAsia"/>
          <w:sz w:val="20"/>
          <w:szCs w:val="20"/>
        </w:rPr>
        <w:t>NPDCCH order to NPRACH</w:t>
      </w:r>
    </w:p>
    <w:p w:rsidR="001B2A35" w:rsidRDefault="00655E0C">
      <w:pPr>
        <w:widowControl/>
        <w:overflowPunct w:val="0"/>
        <w:autoSpaceDE w:val="0"/>
        <w:autoSpaceDN w:val="0"/>
        <w:adjustRightInd w:val="0"/>
        <w:jc w:val="left"/>
        <w:textAlignment w:val="baseline"/>
        <w:rPr>
          <w:kern w:val="0"/>
          <w:sz w:val="20"/>
          <w:szCs w:val="20"/>
        </w:rPr>
      </w:pPr>
      <w:r>
        <w:rPr>
          <w:rFonts w:hint="eastAsia"/>
          <w:kern w:val="0"/>
          <w:sz w:val="20"/>
          <w:szCs w:val="20"/>
        </w:rPr>
        <w:t>According to</w:t>
      </w:r>
      <w:r>
        <w:rPr>
          <w:kern w:val="0"/>
          <w:sz w:val="20"/>
          <w:szCs w:val="20"/>
        </w:rPr>
        <w:t xml:space="preserve"> the exiting </w:t>
      </w:r>
      <w:r>
        <w:rPr>
          <w:rFonts w:hint="eastAsia"/>
          <w:kern w:val="0"/>
          <w:sz w:val="20"/>
          <w:szCs w:val="20"/>
        </w:rPr>
        <w:t>spec</w:t>
      </w:r>
      <w:r>
        <w:rPr>
          <w:kern w:val="0"/>
          <w:sz w:val="20"/>
          <w:szCs w:val="20"/>
        </w:rPr>
        <w:t xml:space="preserve">ification </w:t>
      </w:r>
      <w:r>
        <w:rPr>
          <w:rFonts w:hint="eastAsia"/>
          <w:kern w:val="0"/>
          <w:sz w:val="20"/>
          <w:szCs w:val="20"/>
        </w:rPr>
        <w:t>[5] for NB-IoT/eMTC:</w:t>
      </w:r>
    </w:p>
    <w:p w:rsidR="001B2A35" w:rsidRDefault="00655E0C">
      <w:pPr>
        <w:widowControl/>
        <w:overflowPunct w:val="0"/>
        <w:autoSpaceDE w:val="0"/>
        <w:autoSpaceDN w:val="0"/>
        <w:adjustRightInd w:val="0"/>
        <w:spacing w:after="180"/>
        <w:jc w:val="left"/>
        <w:textAlignment w:val="baseline"/>
        <w:rPr>
          <w:kern w:val="0"/>
          <w:sz w:val="20"/>
          <w:szCs w:val="20"/>
        </w:rPr>
      </w:pPr>
      <w:r>
        <w:rPr>
          <w:i/>
          <w:iCs/>
          <w:kern w:val="0"/>
          <w:sz w:val="20"/>
          <w:szCs w:val="20"/>
        </w:rPr>
        <w:t>“</w:t>
      </w:r>
      <w:r>
        <w:rPr>
          <w:rFonts w:eastAsia="Times New Roman" w:hint="eastAsia"/>
          <w:i/>
          <w:iCs/>
          <w:kern w:val="0"/>
          <w:sz w:val="20"/>
          <w:szCs w:val="20"/>
          <w:lang w:val="en-GB" w:eastAsia="en-GB"/>
        </w:rPr>
        <w:t>I</w:t>
      </w:r>
      <w:r>
        <w:rPr>
          <w:rFonts w:eastAsia="MS Mincho" w:hint="eastAsia"/>
          <w:i/>
          <w:iCs/>
          <w:kern w:val="0"/>
          <w:sz w:val="20"/>
          <w:szCs w:val="20"/>
          <w:lang w:val="en-GB" w:eastAsia="en-GB"/>
        </w:rPr>
        <w:t>n case</w:t>
      </w:r>
      <w:r>
        <w:rPr>
          <w:rFonts w:eastAsia="MS Mincho"/>
          <w:i/>
          <w:iCs/>
          <w:kern w:val="0"/>
          <w:sz w:val="20"/>
          <w:szCs w:val="20"/>
          <w:lang w:val="en-GB" w:eastAsia="en-GB"/>
        </w:rPr>
        <w:t xml:space="preserve"> a</w:t>
      </w:r>
      <w:r>
        <w:rPr>
          <w:rFonts w:eastAsia="MS Mincho" w:hint="eastAsia"/>
          <w:i/>
          <w:iCs/>
          <w:kern w:val="0"/>
          <w:sz w:val="20"/>
          <w:szCs w:val="20"/>
          <w:lang w:val="en-GB" w:eastAsia="en-GB"/>
        </w:rPr>
        <w:t xml:space="preserve"> </w:t>
      </w:r>
      <w:r>
        <w:rPr>
          <w:rFonts w:eastAsia="Times New Roman"/>
          <w:i/>
          <w:iCs/>
          <w:kern w:val="0"/>
          <w:sz w:val="20"/>
          <w:szCs w:val="20"/>
          <w:lang w:val="en-GB" w:eastAsia="en-GB"/>
        </w:rPr>
        <w:t>random access procedure</w:t>
      </w:r>
      <w:r>
        <w:rPr>
          <w:rFonts w:eastAsia="MS Mincho" w:hint="eastAsia"/>
          <w:i/>
          <w:iCs/>
          <w:kern w:val="0"/>
          <w:sz w:val="20"/>
          <w:szCs w:val="20"/>
          <w:lang w:val="en-GB" w:eastAsia="en-GB"/>
        </w:rPr>
        <w:t xml:space="preserve"> is </w:t>
      </w:r>
      <w:r>
        <w:rPr>
          <w:rFonts w:eastAsia="MS Mincho"/>
          <w:i/>
          <w:iCs/>
          <w:kern w:val="0"/>
          <w:sz w:val="19"/>
          <w:szCs w:val="19"/>
          <w:lang w:val="en-GB" w:eastAsia="en-GB"/>
        </w:rPr>
        <w:t>initiated by a</w:t>
      </w:r>
      <w:r>
        <w:rPr>
          <w:rFonts w:eastAsia="MS Mincho" w:hint="eastAsia"/>
          <w:i/>
          <w:iCs/>
          <w:kern w:val="0"/>
          <w:sz w:val="19"/>
          <w:szCs w:val="19"/>
          <w:lang w:val="en-GB" w:eastAsia="en-GB"/>
        </w:rPr>
        <w:t xml:space="preserve"> </w:t>
      </w:r>
      <w:r>
        <w:rPr>
          <w:rFonts w:eastAsia="MS Mincho"/>
          <w:i/>
          <w:iCs/>
          <w:kern w:val="0"/>
          <w:sz w:val="19"/>
          <w:szCs w:val="19"/>
          <w:lang w:val="en-GB" w:eastAsia="en-GB"/>
        </w:rPr>
        <w:t>"</w:t>
      </w:r>
      <w:r>
        <w:rPr>
          <w:rFonts w:eastAsia="Times New Roman" w:hint="eastAsia"/>
          <w:i/>
          <w:iCs/>
          <w:kern w:val="0"/>
          <w:sz w:val="20"/>
          <w:szCs w:val="20"/>
          <w:lang w:val="en-GB" w:eastAsia="en-GB"/>
        </w:rPr>
        <w:t xml:space="preserve">PDCCH </w:t>
      </w:r>
      <w:r>
        <w:rPr>
          <w:rFonts w:eastAsia="Times New Roman"/>
          <w:i/>
          <w:iCs/>
          <w:kern w:val="0"/>
          <w:sz w:val="20"/>
          <w:szCs w:val="20"/>
          <w:lang w:val="en-GB" w:eastAsia="en-GB"/>
        </w:rPr>
        <w:t>order"</w:t>
      </w:r>
      <w:r>
        <w:rPr>
          <w:rFonts w:hint="eastAsia"/>
          <w:i/>
          <w:iCs/>
          <w:kern w:val="0"/>
          <w:sz w:val="20"/>
          <w:szCs w:val="20"/>
          <w:lang w:val="en-GB"/>
        </w:rPr>
        <w:t xml:space="preserve"> ending</w:t>
      </w:r>
      <w:r>
        <w:rPr>
          <w:rFonts w:eastAsia="Times New Roman" w:hint="eastAsia"/>
          <w:i/>
          <w:iCs/>
          <w:kern w:val="0"/>
          <w:sz w:val="20"/>
          <w:szCs w:val="20"/>
          <w:lang w:val="en-GB" w:eastAsia="en-GB"/>
        </w:rPr>
        <w:t xml:space="preserve"> in subframe n, </w:t>
      </w:r>
      <w:r>
        <w:rPr>
          <w:rFonts w:eastAsia="Times New Roman"/>
          <w:i/>
          <w:iCs/>
          <w:kern w:val="0"/>
          <w:sz w:val="20"/>
          <w:szCs w:val="20"/>
          <w:lang w:val="en-GB" w:eastAsia="en-GB"/>
        </w:rPr>
        <w:t xml:space="preserve">the </w:t>
      </w:r>
      <w:r>
        <w:rPr>
          <w:rFonts w:eastAsia="MS Mincho" w:hint="eastAsia"/>
          <w:i/>
          <w:iCs/>
          <w:kern w:val="0"/>
          <w:sz w:val="20"/>
          <w:szCs w:val="20"/>
          <w:lang w:val="en-GB" w:eastAsia="en-GB"/>
        </w:rPr>
        <w:t>UE shall</w:t>
      </w:r>
      <w:r>
        <w:rPr>
          <w:rFonts w:eastAsia="Times New Roman" w:hint="eastAsia"/>
          <w:i/>
          <w:iCs/>
          <w:kern w:val="0"/>
          <w:sz w:val="20"/>
          <w:szCs w:val="20"/>
          <w:lang w:val="en-GB" w:eastAsia="en-GB"/>
        </w:rPr>
        <w:t>,</w:t>
      </w:r>
      <w:r>
        <w:rPr>
          <w:rFonts w:eastAsia="MS Mincho" w:hint="eastAsia"/>
          <w:i/>
          <w:iCs/>
          <w:kern w:val="0"/>
          <w:sz w:val="20"/>
          <w:szCs w:val="20"/>
          <w:lang w:val="en-GB" w:eastAsia="en-GB"/>
        </w:rPr>
        <w:t xml:space="preserve"> </w:t>
      </w:r>
      <w:r>
        <w:rPr>
          <w:rFonts w:eastAsia="Times New Roman" w:hint="eastAsia"/>
          <w:i/>
          <w:iCs/>
          <w:kern w:val="0"/>
          <w:sz w:val="20"/>
          <w:szCs w:val="20"/>
          <w:lang w:val="en-GB" w:eastAsia="en-GB"/>
        </w:rPr>
        <w:t>if requested by higher layers,</w:t>
      </w:r>
      <w:r>
        <w:rPr>
          <w:rFonts w:eastAsia="MS Mincho" w:hint="eastAsia"/>
          <w:i/>
          <w:iCs/>
          <w:kern w:val="0"/>
          <w:sz w:val="20"/>
          <w:szCs w:val="20"/>
          <w:lang w:val="en-GB" w:eastAsia="en-GB"/>
        </w:rPr>
        <w:t xml:space="preserve"> </w:t>
      </w:r>
      <w:r>
        <w:rPr>
          <w:rFonts w:eastAsia="MS Mincho"/>
          <w:i/>
          <w:iCs/>
          <w:kern w:val="0"/>
          <w:sz w:val="20"/>
          <w:szCs w:val="20"/>
          <w:lang w:val="en-GB" w:eastAsia="en-GB"/>
        </w:rPr>
        <w:t xml:space="preserve">start </w:t>
      </w:r>
      <w:r>
        <w:rPr>
          <w:rFonts w:eastAsia="Times New Roman" w:hint="eastAsia"/>
          <w:i/>
          <w:iCs/>
          <w:kern w:val="0"/>
          <w:sz w:val="20"/>
          <w:szCs w:val="20"/>
          <w:lang w:val="en-GB" w:eastAsia="en-GB"/>
        </w:rPr>
        <w:t>transmi</w:t>
      </w:r>
      <w:r>
        <w:rPr>
          <w:rFonts w:eastAsia="Times New Roman"/>
          <w:i/>
          <w:iCs/>
          <w:kern w:val="0"/>
          <w:sz w:val="20"/>
          <w:szCs w:val="20"/>
          <w:lang w:val="en-GB" w:eastAsia="en-GB"/>
        </w:rPr>
        <w:t>ssion</w:t>
      </w:r>
      <w:r>
        <w:rPr>
          <w:rFonts w:eastAsia="Times New Roman" w:hint="eastAsia"/>
          <w:i/>
          <w:iCs/>
          <w:kern w:val="0"/>
          <w:sz w:val="20"/>
          <w:szCs w:val="20"/>
          <w:lang w:val="en-GB" w:eastAsia="en-GB"/>
        </w:rPr>
        <w:t xml:space="preserve"> </w:t>
      </w:r>
      <w:r>
        <w:rPr>
          <w:rFonts w:eastAsia="Times New Roman"/>
          <w:i/>
          <w:iCs/>
          <w:kern w:val="0"/>
          <w:sz w:val="20"/>
          <w:szCs w:val="20"/>
          <w:lang w:val="en-GB" w:eastAsia="en-GB"/>
        </w:rPr>
        <w:t xml:space="preserve">of </w:t>
      </w:r>
      <w:r>
        <w:rPr>
          <w:rFonts w:eastAsia="Times New Roman" w:hint="eastAsia"/>
          <w:i/>
          <w:iCs/>
          <w:kern w:val="0"/>
          <w:sz w:val="20"/>
          <w:szCs w:val="20"/>
          <w:lang w:val="en-GB" w:eastAsia="en-GB"/>
        </w:rPr>
        <w:t xml:space="preserve">random access preamble </w:t>
      </w:r>
      <w:r>
        <w:rPr>
          <w:rFonts w:eastAsia="Times New Roman"/>
          <w:i/>
          <w:iCs/>
          <w:kern w:val="0"/>
          <w:sz w:val="20"/>
          <w:szCs w:val="20"/>
          <w:lang w:val="en-GB" w:eastAsia="en-GB"/>
        </w:rPr>
        <w:t>at the end of</w:t>
      </w:r>
      <w:r>
        <w:rPr>
          <w:rFonts w:eastAsia="Times New Roman" w:hint="eastAsia"/>
          <w:i/>
          <w:iCs/>
          <w:kern w:val="0"/>
          <w:sz w:val="20"/>
          <w:szCs w:val="20"/>
          <w:lang w:val="en-GB" w:eastAsia="en-GB"/>
        </w:rPr>
        <w:t xml:space="preserve"> the first subframe </w:t>
      </w:r>
      <w:r>
        <w:rPr>
          <w:rFonts w:eastAsia="Times New Roman"/>
          <w:i/>
          <w:iCs/>
          <w:noProof/>
          <w:kern w:val="0"/>
          <w:position w:val="-10"/>
          <w:sz w:val="20"/>
          <w:szCs w:val="20"/>
        </w:rPr>
        <w:drawing>
          <wp:inline distT="0" distB="0" distL="114300" distR="114300">
            <wp:extent cx="361950" cy="180975"/>
            <wp:effectExtent l="0" t="0" r="0" b="762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16"/>
                    <a:stretch>
                      <a:fillRect/>
                    </a:stretch>
                  </pic:blipFill>
                  <pic:spPr>
                    <a:xfrm>
                      <a:off x="0" y="0"/>
                      <a:ext cx="361950" cy="180975"/>
                    </a:xfrm>
                    <a:prstGeom prst="rect">
                      <a:avLst/>
                    </a:prstGeom>
                    <a:noFill/>
                    <a:ln>
                      <a:noFill/>
                    </a:ln>
                  </pic:spPr>
                </pic:pic>
              </a:graphicData>
            </a:graphic>
          </wp:inline>
        </w:drawing>
      </w:r>
      <w:r>
        <w:rPr>
          <w:rFonts w:eastAsia="Times New Roman"/>
          <w:i/>
          <w:iCs/>
          <w:kern w:val="0"/>
          <w:sz w:val="20"/>
          <w:szCs w:val="20"/>
          <w:lang w:val="en-GB" w:eastAsia="en-GB"/>
        </w:rPr>
        <w:t xml:space="preserve">, </w:t>
      </w:r>
      <w:r>
        <w:rPr>
          <w:rFonts w:eastAsia="Times New Roman"/>
          <w:i/>
          <w:iCs/>
          <w:kern w:val="0"/>
          <w:position w:val="-10"/>
          <w:sz w:val="20"/>
          <w:szCs w:val="20"/>
          <w:lang w:val="en-GB" w:eastAsia="en-GB"/>
        </w:rPr>
        <w:object w:dxaOrig="565" w:dyaOrig="288">
          <v:shape id="_x0000_i1027" type="#_x0000_t75" style="width:29pt;height:14.5pt" o:ole="">
            <v:imagedata r:id="rId17" o:title=""/>
          </v:shape>
          <o:OLEObject Type="Embed" ProgID="Equation.3" ShapeID="_x0000_i1027" DrawAspect="Content" ObjectID="_1682252773" r:id="rId18"/>
        </w:object>
      </w:r>
      <w:r>
        <w:rPr>
          <w:rFonts w:eastAsia="Times New Roman"/>
          <w:i/>
          <w:iCs/>
          <w:kern w:val="0"/>
          <w:sz w:val="20"/>
          <w:szCs w:val="20"/>
          <w:lang w:val="en-GB" w:eastAsia="en-GB"/>
        </w:rPr>
        <w:t xml:space="preserve">, where a </w:t>
      </w:r>
      <w:r>
        <w:rPr>
          <w:rFonts w:hint="eastAsia"/>
          <w:i/>
          <w:iCs/>
          <w:kern w:val="0"/>
          <w:sz w:val="20"/>
          <w:szCs w:val="20"/>
          <w:lang w:val="en-GB"/>
        </w:rPr>
        <w:t>N</w:t>
      </w:r>
      <w:r>
        <w:rPr>
          <w:rFonts w:eastAsia="Times New Roman"/>
          <w:i/>
          <w:iCs/>
          <w:kern w:val="0"/>
          <w:sz w:val="20"/>
          <w:szCs w:val="20"/>
          <w:lang w:val="en-GB" w:eastAsia="en-GB"/>
        </w:rPr>
        <w:t xml:space="preserve">PRACH </w:t>
      </w:r>
      <w:r>
        <w:rPr>
          <w:rFonts w:eastAsia="Times New Roman" w:hint="eastAsia"/>
          <w:i/>
          <w:iCs/>
          <w:kern w:val="0"/>
          <w:sz w:val="20"/>
          <w:szCs w:val="20"/>
          <w:lang w:val="en-GB" w:eastAsia="en-GB"/>
        </w:rPr>
        <w:t xml:space="preserve">resource </w:t>
      </w:r>
      <w:r>
        <w:rPr>
          <w:rFonts w:eastAsia="Times New Roman"/>
          <w:i/>
          <w:iCs/>
          <w:kern w:val="0"/>
          <w:sz w:val="20"/>
          <w:szCs w:val="20"/>
          <w:lang w:val="en-GB" w:eastAsia="en-GB"/>
        </w:rPr>
        <w:t>is available</w:t>
      </w:r>
      <w:r>
        <w:rPr>
          <w:rFonts w:eastAsia="Times New Roman" w:hint="eastAsia"/>
          <w:i/>
          <w:iCs/>
          <w:kern w:val="0"/>
          <w:sz w:val="20"/>
          <w:szCs w:val="20"/>
          <w:lang w:val="en-GB" w:eastAsia="en-GB"/>
        </w:rPr>
        <w:t>.</w:t>
      </w:r>
      <w:r>
        <w:rPr>
          <w:rFonts w:eastAsia="Times New Roman"/>
          <w:kern w:val="0"/>
          <w:sz w:val="20"/>
          <w:szCs w:val="20"/>
          <w:lang w:val="en-GB" w:eastAsia="en-GB"/>
        </w:rPr>
        <w:t xml:space="preserve"> </w:t>
      </w:r>
      <w:r>
        <w:rPr>
          <w:kern w:val="0"/>
          <w:sz w:val="20"/>
          <w:szCs w:val="20"/>
        </w:rPr>
        <w:t>”</w:t>
      </w:r>
    </w:p>
    <w:p w:rsidR="001B2A35" w:rsidRDefault="00655E0C">
      <w:pPr>
        <w:adjustRightInd w:val="0"/>
        <w:snapToGrid w:val="0"/>
        <w:spacing w:beforeLines="50" w:before="156" w:afterLines="50" w:after="156"/>
        <w:rPr>
          <w:kern w:val="0"/>
          <w:sz w:val="20"/>
          <w:szCs w:val="20"/>
        </w:rPr>
      </w:pPr>
      <w:r>
        <w:rPr>
          <w:i/>
          <w:iCs/>
          <w:sz w:val="20"/>
          <w:szCs w:val="20"/>
        </w:rPr>
        <w:t>“</w:t>
      </w:r>
      <w:r>
        <w:rPr>
          <w:rFonts w:hint="eastAsia"/>
          <w:i/>
          <w:iCs/>
          <w:sz w:val="20"/>
          <w:szCs w:val="20"/>
        </w:rPr>
        <w:t>I</w:t>
      </w:r>
      <w:r>
        <w:rPr>
          <w:rFonts w:eastAsia="MS Mincho" w:hint="eastAsia"/>
          <w:i/>
          <w:iCs/>
          <w:sz w:val="20"/>
          <w:szCs w:val="20"/>
        </w:rPr>
        <w:t>n case</w:t>
      </w:r>
      <w:r>
        <w:rPr>
          <w:rFonts w:eastAsia="MS Mincho"/>
          <w:i/>
          <w:iCs/>
          <w:sz w:val="20"/>
          <w:szCs w:val="20"/>
        </w:rPr>
        <w:t xml:space="preserve"> a</w:t>
      </w:r>
      <w:r>
        <w:rPr>
          <w:rFonts w:eastAsia="MS Mincho" w:hint="eastAsia"/>
          <w:i/>
          <w:iCs/>
          <w:sz w:val="20"/>
          <w:szCs w:val="20"/>
        </w:rPr>
        <w:t xml:space="preserve"> </w:t>
      </w:r>
      <w:r>
        <w:rPr>
          <w:i/>
          <w:iCs/>
          <w:sz w:val="20"/>
          <w:szCs w:val="20"/>
        </w:rPr>
        <w:t>random access procedure</w:t>
      </w:r>
      <w:r>
        <w:rPr>
          <w:rFonts w:eastAsia="MS Mincho" w:hint="eastAsia"/>
          <w:i/>
          <w:iCs/>
          <w:sz w:val="20"/>
          <w:szCs w:val="20"/>
        </w:rPr>
        <w:t xml:space="preserve"> is </w:t>
      </w:r>
      <w:r>
        <w:rPr>
          <w:rFonts w:eastAsia="MS Mincho"/>
          <w:i/>
          <w:iCs/>
          <w:sz w:val="20"/>
          <w:szCs w:val="20"/>
        </w:rPr>
        <w:t>initiated by a</w:t>
      </w:r>
      <w:r>
        <w:rPr>
          <w:rFonts w:eastAsia="MS Mincho" w:hint="eastAsia"/>
          <w:i/>
          <w:iCs/>
          <w:sz w:val="20"/>
          <w:szCs w:val="20"/>
        </w:rPr>
        <w:t xml:space="preserve"> </w:t>
      </w:r>
      <w:r>
        <w:rPr>
          <w:rFonts w:eastAsia="MS Mincho"/>
          <w:i/>
          <w:iCs/>
          <w:sz w:val="20"/>
          <w:szCs w:val="20"/>
        </w:rPr>
        <w:t>"</w:t>
      </w:r>
      <w:r>
        <w:rPr>
          <w:rFonts w:hint="eastAsia"/>
          <w:i/>
          <w:iCs/>
          <w:sz w:val="20"/>
          <w:szCs w:val="20"/>
        </w:rPr>
        <w:t xml:space="preserve">PDCCH </w:t>
      </w:r>
      <w:r>
        <w:rPr>
          <w:i/>
          <w:iCs/>
          <w:sz w:val="20"/>
          <w:szCs w:val="20"/>
        </w:rPr>
        <w:t>order"</w:t>
      </w:r>
      <w:r>
        <w:rPr>
          <w:rFonts w:hint="eastAsia"/>
          <w:i/>
          <w:iCs/>
          <w:sz w:val="20"/>
          <w:szCs w:val="20"/>
        </w:rPr>
        <w:t xml:space="preserve"> in subframe n</w:t>
      </w:r>
      <w:r>
        <w:rPr>
          <w:i/>
          <w:iCs/>
          <w:sz w:val="20"/>
          <w:szCs w:val="20"/>
        </w:rPr>
        <w:t xml:space="preserve"> for non-BL/CE UEs, or "PDCCH order" reception ending in subframe n for BL/CE UEs</w:t>
      </w:r>
      <w:r>
        <w:rPr>
          <w:rFonts w:hint="eastAsia"/>
          <w:i/>
          <w:iCs/>
          <w:sz w:val="20"/>
          <w:szCs w:val="20"/>
        </w:rPr>
        <w:t xml:space="preserve">, </w:t>
      </w:r>
      <w:r>
        <w:rPr>
          <w:i/>
          <w:iCs/>
          <w:sz w:val="20"/>
          <w:szCs w:val="20"/>
        </w:rPr>
        <w:t xml:space="preserve">the </w:t>
      </w:r>
      <w:r>
        <w:rPr>
          <w:rFonts w:eastAsia="MS Mincho" w:hint="eastAsia"/>
          <w:i/>
          <w:iCs/>
          <w:sz w:val="20"/>
          <w:szCs w:val="20"/>
        </w:rPr>
        <w:t>UE shall</w:t>
      </w:r>
      <w:r>
        <w:rPr>
          <w:rFonts w:hint="eastAsia"/>
          <w:i/>
          <w:iCs/>
          <w:sz w:val="20"/>
          <w:szCs w:val="20"/>
        </w:rPr>
        <w:t>,</w:t>
      </w:r>
      <w:r>
        <w:rPr>
          <w:rFonts w:eastAsia="MS Mincho" w:hint="eastAsia"/>
          <w:i/>
          <w:iCs/>
          <w:sz w:val="20"/>
          <w:szCs w:val="20"/>
        </w:rPr>
        <w:t xml:space="preserve"> </w:t>
      </w:r>
      <w:r>
        <w:rPr>
          <w:rFonts w:hint="eastAsia"/>
          <w:i/>
          <w:iCs/>
          <w:sz w:val="20"/>
          <w:szCs w:val="20"/>
        </w:rPr>
        <w:t>if requested by higher layers,</w:t>
      </w:r>
      <w:r>
        <w:rPr>
          <w:rFonts w:eastAsia="MS Mincho" w:hint="eastAsia"/>
          <w:i/>
          <w:iCs/>
          <w:sz w:val="20"/>
          <w:szCs w:val="20"/>
        </w:rPr>
        <w:t xml:space="preserve"> </w:t>
      </w:r>
      <w:r>
        <w:rPr>
          <w:rFonts w:hint="eastAsia"/>
          <w:i/>
          <w:iCs/>
          <w:sz w:val="20"/>
          <w:szCs w:val="20"/>
        </w:rPr>
        <w:t xml:space="preserve">transmit random access preamble in the first subframe </w:t>
      </w:r>
      <w:r>
        <w:rPr>
          <w:i/>
          <w:iCs/>
          <w:noProof/>
          <w:position w:val="-10"/>
          <w:sz w:val="20"/>
          <w:szCs w:val="20"/>
        </w:rPr>
        <w:drawing>
          <wp:inline distT="0" distB="0" distL="114300" distR="114300">
            <wp:extent cx="342900" cy="190500"/>
            <wp:effectExtent l="0" t="0" r="0" b="0"/>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16"/>
                    <a:stretch>
                      <a:fillRect/>
                    </a:stretch>
                  </pic:blipFill>
                  <pic:spPr>
                    <a:xfrm>
                      <a:off x="0" y="0"/>
                      <a:ext cx="342900" cy="190500"/>
                    </a:xfrm>
                    <a:prstGeom prst="rect">
                      <a:avLst/>
                    </a:prstGeom>
                    <a:noFill/>
                    <a:ln>
                      <a:noFill/>
                    </a:ln>
                  </pic:spPr>
                </pic:pic>
              </a:graphicData>
            </a:graphic>
          </wp:inline>
        </w:drawing>
      </w:r>
      <w:r>
        <w:rPr>
          <w:i/>
          <w:iCs/>
          <w:sz w:val="20"/>
          <w:szCs w:val="20"/>
        </w:rPr>
        <w:t xml:space="preserve">, </w:t>
      </w:r>
      <w:r>
        <w:rPr>
          <w:i/>
          <w:iCs/>
          <w:noProof/>
          <w:position w:val="-10"/>
          <w:sz w:val="20"/>
          <w:szCs w:val="20"/>
        </w:rPr>
        <w:drawing>
          <wp:inline distT="0" distB="0" distL="114300" distR="114300">
            <wp:extent cx="352425" cy="190500"/>
            <wp:effectExtent l="0" t="0" r="0" b="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19"/>
                    <a:stretch>
                      <a:fillRect/>
                    </a:stretch>
                  </pic:blipFill>
                  <pic:spPr>
                    <a:xfrm>
                      <a:off x="0" y="0"/>
                      <a:ext cx="352425" cy="190500"/>
                    </a:xfrm>
                    <a:prstGeom prst="rect">
                      <a:avLst/>
                    </a:prstGeom>
                    <a:noFill/>
                    <a:ln>
                      <a:noFill/>
                    </a:ln>
                  </pic:spPr>
                </pic:pic>
              </a:graphicData>
            </a:graphic>
          </wp:inline>
        </w:drawing>
      </w:r>
      <w:r>
        <w:rPr>
          <w:i/>
          <w:iCs/>
          <w:sz w:val="20"/>
          <w:szCs w:val="20"/>
        </w:rPr>
        <w:t xml:space="preserve">, where a PRACH </w:t>
      </w:r>
      <w:r>
        <w:rPr>
          <w:rFonts w:hint="eastAsia"/>
          <w:i/>
          <w:iCs/>
          <w:sz w:val="20"/>
          <w:szCs w:val="20"/>
        </w:rPr>
        <w:t xml:space="preserve">resource </w:t>
      </w:r>
      <w:r>
        <w:rPr>
          <w:i/>
          <w:iCs/>
          <w:sz w:val="20"/>
          <w:szCs w:val="20"/>
        </w:rPr>
        <w:t>is available</w:t>
      </w:r>
      <w:r>
        <w:rPr>
          <w:rFonts w:hint="eastAsia"/>
          <w:i/>
          <w:iCs/>
          <w:sz w:val="20"/>
          <w:szCs w:val="20"/>
        </w:rPr>
        <w:t>.</w:t>
      </w:r>
      <w:r>
        <w:rPr>
          <w:i/>
          <w:iCs/>
          <w:sz w:val="20"/>
          <w:szCs w:val="20"/>
        </w:rPr>
        <w:t>”</w:t>
      </w:r>
    </w:p>
    <w:p w:rsidR="001B2A35" w:rsidRDefault="00655E0C">
      <w:pPr>
        <w:adjustRightInd w:val="0"/>
        <w:snapToGrid w:val="0"/>
        <w:spacing w:beforeLines="50" w:before="156" w:afterLines="50" w:after="156"/>
        <w:rPr>
          <w:sz w:val="20"/>
          <w:szCs w:val="20"/>
        </w:rPr>
      </w:pPr>
      <w:r>
        <w:rPr>
          <w:sz w:val="20"/>
          <w:szCs w:val="20"/>
        </w:rPr>
        <w:t>It can be found that by a</w:t>
      </w:r>
      <w:r>
        <w:rPr>
          <w:rFonts w:hint="eastAsia"/>
          <w:sz w:val="20"/>
          <w:szCs w:val="20"/>
        </w:rPr>
        <w:t xml:space="preserve">ssuming preamble transmission with TA effect, from </w:t>
      </w:r>
      <w:proofErr w:type="spellStart"/>
      <w:r>
        <w:rPr>
          <w:rFonts w:hint="eastAsia"/>
          <w:sz w:val="20"/>
          <w:szCs w:val="20"/>
        </w:rPr>
        <w:t>eNB</w:t>
      </w:r>
      <w:proofErr w:type="spellEnd"/>
      <w:r>
        <w:rPr>
          <w:rFonts w:hint="eastAsia"/>
          <w:sz w:val="20"/>
          <w:szCs w:val="20"/>
        </w:rPr>
        <w:t xml:space="preserve"> perspective, available UL resource is allocated which in fact has taken the value of K_offset into account. So based on current spec, it seems no modification is necessary, the </w:t>
      </w:r>
      <w:r>
        <w:rPr>
          <w:sz w:val="20"/>
          <w:szCs w:val="20"/>
        </w:rPr>
        <w:t>“</w:t>
      </w:r>
      <w:r>
        <w:rPr>
          <w:rFonts w:hint="eastAsia"/>
          <w:sz w:val="20"/>
          <w:szCs w:val="20"/>
        </w:rPr>
        <w:t xml:space="preserve">available subframe n + </w:t>
      </w:r>
      <w:r>
        <w:rPr>
          <w:rFonts w:hint="eastAsia"/>
          <w:i/>
          <w:iCs/>
          <w:sz w:val="20"/>
          <w:szCs w:val="20"/>
        </w:rPr>
        <w:t>k</w:t>
      </w:r>
      <w:r>
        <w:rPr>
          <w:rFonts w:hint="eastAsia"/>
          <w:i/>
          <w:iCs/>
          <w:sz w:val="20"/>
          <w:szCs w:val="20"/>
          <w:vertAlign w:val="subscript"/>
        </w:rPr>
        <w:t>2</w:t>
      </w:r>
      <w:r>
        <w:rPr>
          <w:sz w:val="20"/>
          <w:szCs w:val="20"/>
        </w:rPr>
        <w:t>”</w:t>
      </w:r>
      <w:r>
        <w:rPr>
          <w:rFonts w:hint="eastAsia"/>
          <w:sz w:val="20"/>
          <w:szCs w:val="20"/>
        </w:rPr>
        <w:t xml:space="preserve"> should cover the TA.</w:t>
      </w:r>
    </w:p>
    <w:p w:rsidR="001B2A35" w:rsidRDefault="00655E0C">
      <w:pPr>
        <w:spacing w:beforeLines="50" w:before="156"/>
        <w:rPr>
          <w:bCs/>
          <w:i/>
          <w:iCs/>
          <w:sz w:val="20"/>
          <w:szCs w:val="20"/>
        </w:rPr>
      </w:pPr>
      <w:r>
        <w:rPr>
          <w:b/>
          <w:bCs/>
          <w:i/>
          <w:iCs/>
          <w:sz w:val="20"/>
          <w:szCs w:val="20"/>
        </w:rPr>
        <w:t>Proposal</w:t>
      </w:r>
      <w:r>
        <w:rPr>
          <w:rFonts w:hint="eastAsia"/>
          <w:b/>
          <w:bCs/>
          <w:i/>
          <w:iCs/>
          <w:sz w:val="20"/>
          <w:szCs w:val="20"/>
        </w:rPr>
        <w:t>-5</w:t>
      </w:r>
      <w:r>
        <w:rPr>
          <w:b/>
          <w:bCs/>
          <w:i/>
          <w:iCs/>
          <w:sz w:val="20"/>
          <w:szCs w:val="20"/>
        </w:rPr>
        <w:t xml:space="preserve">: </w:t>
      </w:r>
      <w:r>
        <w:rPr>
          <w:bCs/>
          <w:i/>
          <w:iCs/>
          <w:sz w:val="20"/>
          <w:szCs w:val="20"/>
        </w:rPr>
        <w:t xml:space="preserve">In </w:t>
      </w:r>
      <w:r>
        <w:rPr>
          <w:rFonts w:hint="eastAsia"/>
          <w:bCs/>
          <w:i/>
          <w:iCs/>
          <w:sz w:val="20"/>
          <w:szCs w:val="20"/>
        </w:rPr>
        <w:t>NB-IoT/</w:t>
      </w:r>
      <w:r>
        <w:rPr>
          <w:bCs/>
          <w:i/>
          <w:iCs/>
          <w:sz w:val="20"/>
          <w:szCs w:val="20"/>
        </w:rPr>
        <w:t>eMTC over NTN, no modification is needed</w:t>
      </w:r>
      <w:r>
        <w:rPr>
          <w:rFonts w:hint="eastAsia"/>
          <w:bCs/>
          <w:i/>
          <w:iCs/>
          <w:sz w:val="20"/>
          <w:szCs w:val="20"/>
        </w:rPr>
        <w:t xml:space="preserve"> for timing of PDCCH order to PRACH</w:t>
      </w:r>
      <w:r>
        <w:rPr>
          <w:bCs/>
          <w:i/>
          <w:iCs/>
          <w:sz w:val="20"/>
          <w:szCs w:val="20"/>
        </w:rPr>
        <w:t>.</w:t>
      </w:r>
    </w:p>
    <w:p w:rsidR="001B2A35" w:rsidRDefault="00655E0C">
      <w:pPr>
        <w:numPr>
          <w:ilvl w:val="0"/>
          <w:numId w:val="10"/>
        </w:numPr>
        <w:adjustRightInd w:val="0"/>
        <w:snapToGrid w:val="0"/>
        <w:spacing w:beforeLines="50" w:before="156" w:afterLines="50" w:after="156"/>
        <w:rPr>
          <w:sz w:val="20"/>
          <w:szCs w:val="20"/>
        </w:rPr>
      </w:pPr>
      <w:r>
        <w:rPr>
          <w:rFonts w:hint="eastAsia"/>
          <w:sz w:val="20"/>
          <w:szCs w:val="20"/>
        </w:rPr>
        <w:t>PRACH preamble retransmission</w:t>
      </w:r>
    </w:p>
    <w:p w:rsidR="001B2A35" w:rsidRDefault="00655E0C">
      <w:pPr>
        <w:adjustRightInd w:val="0"/>
        <w:snapToGrid w:val="0"/>
        <w:spacing w:beforeLines="50" w:before="156" w:afterLines="50" w:after="156"/>
        <w:rPr>
          <w:sz w:val="20"/>
          <w:szCs w:val="20"/>
        </w:rPr>
      </w:pPr>
      <w:r>
        <w:rPr>
          <w:rFonts w:hint="eastAsia"/>
          <w:sz w:val="20"/>
          <w:szCs w:val="20"/>
        </w:rPr>
        <w:t xml:space="preserve">According to </w:t>
      </w:r>
      <w:r>
        <w:rPr>
          <w:sz w:val="20"/>
          <w:szCs w:val="20"/>
        </w:rPr>
        <w:t>existing</w:t>
      </w:r>
      <w:r>
        <w:rPr>
          <w:rFonts w:hint="eastAsia"/>
          <w:sz w:val="20"/>
          <w:szCs w:val="20"/>
        </w:rPr>
        <w:t xml:space="preserve"> </w:t>
      </w:r>
      <w:r>
        <w:rPr>
          <w:sz w:val="20"/>
          <w:szCs w:val="20"/>
        </w:rPr>
        <w:t xml:space="preserve">specification </w:t>
      </w:r>
      <w:r>
        <w:rPr>
          <w:rFonts w:hint="eastAsia"/>
          <w:sz w:val="20"/>
          <w:szCs w:val="20"/>
        </w:rPr>
        <w:t>[5] for NB-IoT/eMTC:</w:t>
      </w:r>
    </w:p>
    <w:p w:rsidR="001B2A35" w:rsidRDefault="00655E0C">
      <w:pPr>
        <w:adjustRightInd w:val="0"/>
        <w:snapToGrid w:val="0"/>
        <w:spacing w:beforeLines="50" w:before="156" w:afterLines="50" w:after="156"/>
        <w:rPr>
          <w:i/>
          <w:iCs/>
          <w:sz w:val="20"/>
          <w:szCs w:val="20"/>
        </w:rPr>
      </w:pPr>
      <w:r>
        <w:rPr>
          <w:i/>
          <w:iCs/>
          <w:sz w:val="20"/>
          <w:szCs w:val="20"/>
        </w:rPr>
        <w:t>“If a random access response is received and the corresponding DL-SCH transport block</w:t>
      </w:r>
      <w:r>
        <w:rPr>
          <w:rFonts w:hint="eastAsia"/>
          <w:i/>
          <w:iCs/>
          <w:sz w:val="20"/>
          <w:szCs w:val="20"/>
        </w:rPr>
        <w:t xml:space="preserve"> ending </w:t>
      </w:r>
      <w:r>
        <w:rPr>
          <w:i/>
          <w:iCs/>
          <w:sz w:val="20"/>
          <w:szCs w:val="20"/>
        </w:rPr>
        <w:t>in subframe n does not contain a response to the transmitted preamble sequence, the UE shall, if requested by higher layers, be ready to transmit a new preamble sequence no later than the NB-IoT UL slot starting 12 milliseconds after the end of subframe n.”</w:t>
      </w:r>
    </w:p>
    <w:p w:rsidR="001B2A35" w:rsidRDefault="00655E0C">
      <w:pPr>
        <w:adjustRightInd w:val="0"/>
        <w:snapToGrid w:val="0"/>
        <w:spacing w:beforeLines="50" w:before="156" w:afterLines="50" w:after="156"/>
        <w:rPr>
          <w:sz w:val="20"/>
          <w:szCs w:val="20"/>
        </w:rPr>
      </w:pPr>
      <w:r>
        <w:rPr>
          <w:i/>
          <w:iCs/>
          <w:sz w:val="20"/>
          <w:szCs w:val="20"/>
        </w:rPr>
        <w:t>“If a random access response is received in subframe n, and the corresponding DL-SCH transport block does not contain a response to the transmitted preamble sequence, the UE shall, if requested by higher layers, be ready to transmit a new preamble sequence no later than in subframe</w:t>
      </w:r>
      <w:r>
        <w:rPr>
          <w:i/>
          <w:iCs/>
          <w:noProof/>
          <w:position w:val="-6"/>
          <w:sz w:val="20"/>
          <w:szCs w:val="20"/>
        </w:rPr>
        <w:drawing>
          <wp:inline distT="0" distB="0" distL="114300" distR="114300">
            <wp:extent cx="285750" cy="152400"/>
            <wp:effectExtent l="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pic:cNvPicPr>
                  </pic:nvPicPr>
                  <pic:blipFill>
                    <a:blip r:embed="rId20"/>
                    <a:stretch>
                      <a:fillRect/>
                    </a:stretch>
                  </pic:blipFill>
                  <pic:spPr>
                    <a:xfrm>
                      <a:off x="0" y="0"/>
                      <a:ext cx="285750" cy="152400"/>
                    </a:xfrm>
                    <a:prstGeom prst="rect">
                      <a:avLst/>
                    </a:prstGeom>
                    <a:noFill/>
                    <a:ln>
                      <a:noFill/>
                    </a:ln>
                  </pic:spPr>
                </pic:pic>
              </a:graphicData>
            </a:graphic>
          </wp:inline>
        </w:drawing>
      </w:r>
      <w:r>
        <w:rPr>
          <w:i/>
          <w:iCs/>
          <w:sz w:val="20"/>
          <w:szCs w:val="20"/>
        </w:rPr>
        <w:t>.”</w:t>
      </w:r>
    </w:p>
    <w:p w:rsidR="001B2A35" w:rsidRDefault="00655E0C">
      <w:pPr>
        <w:adjustRightInd w:val="0"/>
        <w:snapToGrid w:val="0"/>
        <w:spacing w:beforeLines="50" w:before="156" w:afterLines="50" w:after="156"/>
        <w:rPr>
          <w:sz w:val="20"/>
          <w:szCs w:val="20"/>
        </w:rPr>
      </w:pPr>
      <w:r>
        <w:rPr>
          <w:sz w:val="20"/>
          <w:szCs w:val="20"/>
        </w:rPr>
        <w:t xml:space="preserve">It can </w:t>
      </w:r>
      <w:r>
        <w:rPr>
          <w:rFonts w:hint="eastAsia"/>
          <w:sz w:val="20"/>
          <w:szCs w:val="20"/>
        </w:rPr>
        <w:t xml:space="preserve">be </w:t>
      </w:r>
      <w:r>
        <w:rPr>
          <w:sz w:val="20"/>
          <w:szCs w:val="20"/>
        </w:rPr>
        <w:t>found that t</w:t>
      </w:r>
      <w:r>
        <w:rPr>
          <w:rFonts w:hint="eastAsia"/>
          <w:sz w:val="20"/>
          <w:szCs w:val="20"/>
        </w:rPr>
        <w:t xml:space="preserve">he new preamble sequence is transmitted after the received DL-SCH transport block. And current specification such as </w:t>
      </w:r>
      <w:r>
        <w:rPr>
          <w:sz w:val="20"/>
          <w:szCs w:val="20"/>
        </w:rPr>
        <w:t>“</w:t>
      </w:r>
      <w:r>
        <w:rPr>
          <w:rFonts w:hint="eastAsia"/>
          <w:sz w:val="20"/>
          <w:szCs w:val="20"/>
        </w:rPr>
        <w:t>12 milliseconds after the end of subframe n</w:t>
      </w:r>
      <w:r>
        <w:rPr>
          <w:sz w:val="20"/>
          <w:szCs w:val="20"/>
        </w:rPr>
        <w:t>”</w:t>
      </w:r>
      <w:r>
        <w:rPr>
          <w:rFonts w:hint="eastAsia"/>
          <w:sz w:val="20"/>
          <w:szCs w:val="20"/>
        </w:rPr>
        <w:t xml:space="preserve"> for NB-IoT, and </w:t>
      </w:r>
      <w:r>
        <w:rPr>
          <w:sz w:val="20"/>
          <w:szCs w:val="20"/>
        </w:rPr>
        <w:t>“</w:t>
      </w:r>
      <w:r>
        <w:rPr>
          <w:rFonts w:hint="eastAsia"/>
          <w:sz w:val="20"/>
          <w:szCs w:val="20"/>
        </w:rPr>
        <w:t>subframe n+5</w:t>
      </w:r>
      <w:r>
        <w:rPr>
          <w:sz w:val="20"/>
          <w:szCs w:val="20"/>
        </w:rPr>
        <w:t>”</w:t>
      </w:r>
      <w:r>
        <w:rPr>
          <w:rFonts w:hint="eastAsia"/>
          <w:sz w:val="20"/>
          <w:szCs w:val="20"/>
        </w:rPr>
        <w:t xml:space="preserve"> for eMTC is identified as the slot number in UE UL timeline, therefore enhancement is needed to handle the large TA impact of UL transmission. </w:t>
      </w:r>
    </w:p>
    <w:p w:rsidR="002212A7" w:rsidRPr="002212A7" w:rsidRDefault="002212A7" w:rsidP="002212A7">
      <w:pPr>
        <w:spacing w:beforeLines="50" w:before="156"/>
        <w:rPr>
          <w:bCs/>
          <w:i/>
          <w:iCs/>
          <w:sz w:val="20"/>
          <w:szCs w:val="20"/>
        </w:rPr>
      </w:pPr>
      <w:bookmarkStart w:id="8" w:name="_GoBack"/>
      <w:bookmarkEnd w:id="8"/>
      <w:r w:rsidRPr="002212A7">
        <w:rPr>
          <w:b/>
          <w:bCs/>
          <w:i/>
          <w:iCs/>
          <w:sz w:val="20"/>
          <w:szCs w:val="20"/>
        </w:rPr>
        <w:t>Proposal</w:t>
      </w:r>
      <w:r w:rsidRPr="002212A7">
        <w:rPr>
          <w:rFonts w:hint="eastAsia"/>
          <w:b/>
          <w:bCs/>
          <w:i/>
          <w:iCs/>
          <w:sz w:val="20"/>
          <w:szCs w:val="20"/>
        </w:rPr>
        <w:t>-6</w:t>
      </w:r>
      <w:r w:rsidRPr="002212A7">
        <w:rPr>
          <w:b/>
          <w:bCs/>
          <w:i/>
          <w:iCs/>
          <w:sz w:val="20"/>
          <w:szCs w:val="20"/>
        </w:rPr>
        <w:t xml:space="preserve">: </w:t>
      </w:r>
      <w:r w:rsidRPr="002212A7">
        <w:rPr>
          <w:bCs/>
          <w:i/>
          <w:iCs/>
          <w:sz w:val="20"/>
          <w:szCs w:val="20"/>
        </w:rPr>
        <w:t xml:space="preserve">In </w:t>
      </w:r>
      <w:r w:rsidRPr="002212A7">
        <w:rPr>
          <w:rFonts w:hint="eastAsia"/>
          <w:bCs/>
          <w:i/>
          <w:iCs/>
          <w:sz w:val="20"/>
          <w:szCs w:val="20"/>
        </w:rPr>
        <w:t>NB-IoT/</w:t>
      </w:r>
      <w:r w:rsidRPr="002212A7">
        <w:rPr>
          <w:bCs/>
          <w:i/>
          <w:iCs/>
          <w:sz w:val="20"/>
          <w:szCs w:val="20"/>
        </w:rPr>
        <w:t>eMTC over NTN,</w:t>
      </w:r>
      <w:r w:rsidRPr="002212A7">
        <w:rPr>
          <w:rFonts w:hint="eastAsia"/>
          <w:bCs/>
          <w:i/>
          <w:iCs/>
          <w:sz w:val="20"/>
          <w:szCs w:val="20"/>
        </w:rPr>
        <w:t xml:space="preserve"> enhancement</w:t>
      </w:r>
      <w:r w:rsidRPr="002212A7">
        <w:rPr>
          <w:bCs/>
          <w:i/>
          <w:iCs/>
          <w:sz w:val="20"/>
          <w:szCs w:val="20"/>
        </w:rPr>
        <w:t xml:space="preserve"> on the </w:t>
      </w:r>
      <w:r w:rsidRPr="002212A7">
        <w:rPr>
          <w:rFonts w:hint="eastAsia"/>
          <w:bCs/>
          <w:i/>
          <w:iCs/>
          <w:sz w:val="20"/>
          <w:szCs w:val="20"/>
        </w:rPr>
        <w:t>timing of PRACH preamble retransmission is needed</w:t>
      </w:r>
      <w:r w:rsidRPr="002212A7">
        <w:rPr>
          <w:bCs/>
          <w:i/>
          <w:iCs/>
          <w:sz w:val="20"/>
          <w:szCs w:val="20"/>
        </w:rPr>
        <w:t>.</w:t>
      </w:r>
    </w:p>
    <w:p w:rsidR="001B2A35" w:rsidRDefault="00655E0C">
      <w:pPr>
        <w:numPr>
          <w:ilvl w:val="0"/>
          <w:numId w:val="3"/>
        </w:numPr>
        <w:tabs>
          <w:tab w:val="left" w:pos="432"/>
        </w:tabs>
        <w:autoSpaceDE w:val="0"/>
        <w:autoSpaceDN w:val="0"/>
        <w:adjustRightInd w:val="0"/>
        <w:snapToGrid w:val="0"/>
        <w:spacing w:beforeLines="50" w:before="156" w:afterLines="50" w:after="156"/>
        <w:ind w:left="431" w:hanging="431"/>
        <w:outlineLvl w:val="0"/>
        <w:rPr>
          <w:rFonts w:ascii="Arial" w:eastAsia="黑体" w:hAnsi="Arial"/>
          <w:b/>
          <w:bCs/>
          <w:sz w:val="28"/>
          <w:szCs w:val="30"/>
        </w:rPr>
      </w:pPr>
      <w:r>
        <w:rPr>
          <w:rFonts w:ascii="Arial" w:eastAsia="黑体" w:hAnsi="Arial"/>
          <w:b/>
          <w:bCs/>
          <w:sz w:val="28"/>
          <w:szCs w:val="30"/>
        </w:rPr>
        <w:t>Discussion on the GNSS measurement and UL gap</w:t>
      </w:r>
    </w:p>
    <w:p w:rsidR="001B2A35" w:rsidRDefault="00655E0C">
      <w:pPr>
        <w:adjustRightInd w:val="0"/>
        <w:snapToGrid w:val="0"/>
        <w:spacing w:beforeLines="50" w:before="156" w:afterLines="50" w:after="156"/>
        <w:rPr>
          <w:sz w:val="20"/>
          <w:szCs w:val="20"/>
        </w:rPr>
      </w:pPr>
      <w:r>
        <w:rPr>
          <w:rFonts w:hint="eastAsia"/>
          <w:sz w:val="20"/>
          <w:szCs w:val="20"/>
        </w:rPr>
        <w:t>Regarding the timing for UE</w:t>
      </w:r>
      <w:r>
        <w:rPr>
          <w:sz w:val="20"/>
          <w:szCs w:val="20"/>
        </w:rPr>
        <w:t>’</w:t>
      </w:r>
      <w:r>
        <w:rPr>
          <w:rFonts w:hint="eastAsia"/>
          <w:sz w:val="20"/>
          <w:szCs w:val="20"/>
        </w:rPr>
        <w:t>s GNSS measurement, at least before a UL transmission, the UE may have to perform/finish GNSS measurement to aid UL synchronization. For example, performing GNSS measurement at the end of (e</w:t>
      </w:r>
      <w:proofErr w:type="gramStart"/>
      <w:r>
        <w:rPr>
          <w:rFonts w:hint="eastAsia"/>
          <w:sz w:val="20"/>
          <w:szCs w:val="20"/>
        </w:rPr>
        <w:t>)DRX</w:t>
      </w:r>
      <w:proofErr w:type="gramEnd"/>
      <w:r>
        <w:rPr>
          <w:rFonts w:hint="eastAsia"/>
          <w:sz w:val="20"/>
          <w:szCs w:val="20"/>
        </w:rPr>
        <w:t xml:space="preserve"> or power saving mode </w:t>
      </w:r>
      <w:r>
        <w:rPr>
          <w:sz w:val="20"/>
          <w:szCs w:val="20"/>
        </w:rPr>
        <w:t>[6].</w:t>
      </w:r>
      <w:r>
        <w:rPr>
          <w:rFonts w:hint="eastAsia"/>
          <w:sz w:val="20"/>
          <w:szCs w:val="20"/>
        </w:rPr>
        <w:t xml:space="preserve"> And for </w:t>
      </w:r>
      <w:r>
        <w:rPr>
          <w:sz w:val="20"/>
          <w:szCs w:val="20"/>
        </w:rPr>
        <w:t xml:space="preserve">UE in RRC connection mode, to ensure the UL synchronization can satisfy the potential requirement, valid position information should be assumed at UE. In this way, introduction on GNSS measurement to mandate the acquisition of UE’s location can be considered. </w:t>
      </w:r>
    </w:p>
    <w:p w:rsidR="001B2A35" w:rsidRDefault="00655E0C">
      <w:pPr>
        <w:spacing w:beforeLines="50" w:before="156"/>
        <w:rPr>
          <w:sz w:val="20"/>
          <w:szCs w:val="20"/>
        </w:rPr>
      </w:pPr>
      <w:r>
        <w:rPr>
          <w:b/>
          <w:bCs/>
          <w:i/>
          <w:iCs/>
          <w:sz w:val="20"/>
          <w:szCs w:val="20"/>
        </w:rPr>
        <w:t>Proposal</w:t>
      </w:r>
      <w:r>
        <w:rPr>
          <w:rFonts w:hint="eastAsia"/>
          <w:b/>
          <w:bCs/>
          <w:i/>
          <w:iCs/>
          <w:sz w:val="20"/>
          <w:szCs w:val="20"/>
        </w:rPr>
        <w:t>-7</w:t>
      </w:r>
      <w:r>
        <w:rPr>
          <w:b/>
          <w:bCs/>
          <w:i/>
          <w:iCs/>
          <w:sz w:val="20"/>
          <w:szCs w:val="20"/>
        </w:rPr>
        <w:t xml:space="preserve">: </w:t>
      </w:r>
      <w:r>
        <w:rPr>
          <w:rFonts w:hint="eastAsia"/>
          <w:i/>
          <w:iCs/>
          <w:sz w:val="20"/>
          <w:szCs w:val="20"/>
        </w:rPr>
        <w:t>T</w:t>
      </w:r>
      <w:r>
        <w:rPr>
          <w:rFonts w:hint="eastAsia"/>
          <w:bCs/>
          <w:i/>
          <w:iCs/>
          <w:sz w:val="20"/>
          <w:szCs w:val="20"/>
        </w:rPr>
        <w:t xml:space="preserve">he </w:t>
      </w:r>
      <w:r>
        <w:rPr>
          <w:bCs/>
          <w:i/>
          <w:iCs/>
          <w:sz w:val="20"/>
          <w:szCs w:val="20"/>
        </w:rPr>
        <w:t xml:space="preserve">GNSS measurement behaviors should be defined to mandate the UE to acquire its own position for UL synchronization. Detailed configuration on the </w:t>
      </w:r>
      <w:r>
        <w:rPr>
          <w:rFonts w:hint="eastAsia"/>
          <w:bCs/>
          <w:i/>
          <w:iCs/>
          <w:sz w:val="20"/>
          <w:szCs w:val="20"/>
        </w:rPr>
        <w:t xml:space="preserve">GNSS measurement </w:t>
      </w:r>
      <w:r>
        <w:rPr>
          <w:bCs/>
          <w:i/>
          <w:iCs/>
          <w:sz w:val="20"/>
          <w:szCs w:val="20"/>
        </w:rPr>
        <w:t>can be determined in normative phase.</w:t>
      </w:r>
    </w:p>
    <w:p w:rsidR="001B2A35" w:rsidRDefault="00655E0C">
      <w:pPr>
        <w:adjustRightInd w:val="0"/>
        <w:snapToGrid w:val="0"/>
        <w:spacing w:beforeLines="50" w:before="156" w:afterLines="50" w:after="156"/>
        <w:rPr>
          <w:sz w:val="20"/>
          <w:szCs w:val="20"/>
        </w:rPr>
      </w:pPr>
      <w:r>
        <w:rPr>
          <w:rFonts w:hint="eastAsia"/>
          <w:sz w:val="20"/>
          <w:szCs w:val="20"/>
        </w:rPr>
        <w:lastRenderedPageBreak/>
        <w:t xml:space="preserve">And as to UL transmission Gap for NB-IoT/eMTC over NTN, it was agreed </w:t>
      </w:r>
      <w:r>
        <w:rPr>
          <w:sz w:val="20"/>
          <w:szCs w:val="20"/>
        </w:rPr>
        <w:t>UE pre-compensation done per N time units [</w:t>
      </w:r>
      <w:r>
        <w:rPr>
          <w:rFonts w:hint="eastAsia"/>
          <w:sz w:val="20"/>
          <w:szCs w:val="20"/>
        </w:rPr>
        <w:t xml:space="preserve">1] during long UL transmissions. After N time units of transmission, due to accumulated time/frequency shift in </w:t>
      </w:r>
      <w:r>
        <w:rPr>
          <w:sz w:val="20"/>
          <w:szCs w:val="20"/>
        </w:rPr>
        <w:t>e.g., LEO</w:t>
      </w:r>
      <w:r>
        <w:rPr>
          <w:rFonts w:hint="eastAsia"/>
          <w:sz w:val="20"/>
          <w:szCs w:val="20"/>
        </w:rPr>
        <w:t xml:space="preserve"> satellite case, it is expect</w:t>
      </w:r>
      <w:r>
        <w:rPr>
          <w:sz w:val="20"/>
          <w:szCs w:val="20"/>
        </w:rPr>
        <w:t xml:space="preserve">ed that the adjustment on corrected TA/frequency will be needed for following transmission to mitigate the </w:t>
      </w:r>
      <w:r>
        <w:rPr>
          <w:rFonts w:hint="eastAsia"/>
          <w:sz w:val="20"/>
          <w:szCs w:val="20"/>
        </w:rPr>
        <w:t>residual error</w:t>
      </w:r>
      <w:r>
        <w:rPr>
          <w:sz w:val="20"/>
          <w:szCs w:val="20"/>
        </w:rPr>
        <w:t>. In this case, sin</w:t>
      </w:r>
      <w:r w:rsidR="00AF0019">
        <w:rPr>
          <w:sz w:val="20"/>
          <w:szCs w:val="20"/>
        </w:rPr>
        <w:t>c</w:t>
      </w:r>
      <w:r>
        <w:rPr>
          <w:sz w:val="20"/>
          <w:szCs w:val="20"/>
        </w:rPr>
        <w:t xml:space="preserve">e the newly applied TA value can be either larger or smaller than previous, additional gap is needed to </w:t>
      </w:r>
      <w:r>
        <w:rPr>
          <w:rFonts w:hint="eastAsia"/>
          <w:sz w:val="20"/>
          <w:szCs w:val="20"/>
        </w:rPr>
        <w:t xml:space="preserve">avoid interference of consecutive PUSCHs transmission </w:t>
      </w:r>
      <w:r>
        <w:rPr>
          <w:sz w:val="20"/>
          <w:szCs w:val="20"/>
        </w:rPr>
        <w:t>due to</w:t>
      </w:r>
      <w:r>
        <w:rPr>
          <w:rFonts w:hint="eastAsia"/>
          <w:sz w:val="20"/>
          <w:szCs w:val="20"/>
        </w:rPr>
        <w:t xml:space="preserve"> different </w:t>
      </w:r>
      <w:r>
        <w:rPr>
          <w:sz w:val="20"/>
          <w:szCs w:val="20"/>
        </w:rPr>
        <w:t xml:space="preserve">applied </w:t>
      </w:r>
      <w:r>
        <w:rPr>
          <w:rFonts w:hint="eastAsia"/>
          <w:sz w:val="20"/>
          <w:szCs w:val="20"/>
        </w:rPr>
        <w:t>TA</w:t>
      </w:r>
      <w:r>
        <w:rPr>
          <w:sz w:val="20"/>
          <w:szCs w:val="20"/>
        </w:rPr>
        <w:t xml:space="preserve"> including corresponding calculation. </w:t>
      </w:r>
    </w:p>
    <w:p w:rsidR="001B2A35" w:rsidRDefault="00655E0C">
      <w:pPr>
        <w:spacing w:beforeLines="50" w:before="156"/>
        <w:rPr>
          <w:bCs/>
          <w:i/>
          <w:iCs/>
          <w:sz w:val="20"/>
          <w:szCs w:val="20"/>
        </w:rPr>
      </w:pPr>
      <w:r>
        <w:rPr>
          <w:b/>
          <w:bCs/>
          <w:i/>
          <w:iCs/>
          <w:sz w:val="20"/>
          <w:szCs w:val="20"/>
        </w:rPr>
        <w:t>Proposal</w:t>
      </w:r>
      <w:r>
        <w:rPr>
          <w:rFonts w:hint="eastAsia"/>
          <w:b/>
          <w:bCs/>
          <w:i/>
          <w:iCs/>
          <w:sz w:val="20"/>
          <w:szCs w:val="20"/>
        </w:rPr>
        <w:t>-8</w:t>
      </w:r>
      <w:r>
        <w:rPr>
          <w:b/>
          <w:bCs/>
          <w:i/>
          <w:iCs/>
          <w:sz w:val="20"/>
          <w:szCs w:val="20"/>
        </w:rPr>
        <w:t xml:space="preserve">: </w:t>
      </w:r>
      <w:r>
        <w:rPr>
          <w:rFonts w:hint="eastAsia"/>
          <w:i/>
          <w:iCs/>
          <w:sz w:val="20"/>
          <w:szCs w:val="20"/>
        </w:rPr>
        <w:t>UL compensation gap enhancement to aid segment pre-compensation should be considered</w:t>
      </w:r>
      <w:r>
        <w:rPr>
          <w:i/>
          <w:iCs/>
          <w:sz w:val="20"/>
          <w:szCs w:val="20"/>
        </w:rPr>
        <w:t>.</w:t>
      </w:r>
    </w:p>
    <w:p w:rsidR="001B2A35" w:rsidRDefault="00655E0C">
      <w:pPr>
        <w:pStyle w:val="1"/>
        <w:keepNext w:val="0"/>
        <w:keepLines w:val="0"/>
        <w:widowControl w:val="0"/>
        <w:numPr>
          <w:ilvl w:val="0"/>
          <w:numId w:val="3"/>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rsidR="001B2A35" w:rsidRDefault="00655E0C">
      <w:pPr>
        <w:adjustRightInd w:val="0"/>
        <w:snapToGrid w:val="0"/>
        <w:spacing w:before="50" w:afterLines="50" w:after="156"/>
        <w:rPr>
          <w:kern w:val="0"/>
          <w:sz w:val="20"/>
          <w:szCs w:val="20"/>
          <w:lang w:val="en-GB"/>
        </w:rPr>
      </w:pPr>
      <w:r>
        <w:rPr>
          <w:rFonts w:hint="eastAsia"/>
          <w:kern w:val="0"/>
          <w:sz w:val="20"/>
          <w:szCs w:val="20"/>
          <w:lang w:val="en-GB"/>
        </w:rPr>
        <w:t>I</w:t>
      </w:r>
      <w:r>
        <w:rPr>
          <w:kern w:val="0"/>
          <w:sz w:val="20"/>
          <w:szCs w:val="20"/>
          <w:lang w:val="en-GB"/>
        </w:rPr>
        <w:t xml:space="preserve">n this contribution, </w:t>
      </w:r>
      <w:r>
        <w:rPr>
          <w:rFonts w:hint="eastAsia"/>
          <w:kern w:val="0"/>
          <w:sz w:val="20"/>
          <w:szCs w:val="20"/>
          <w:lang w:val="en-GB"/>
        </w:rPr>
        <w:t>discussion</w:t>
      </w:r>
      <w:r>
        <w:rPr>
          <w:kern w:val="0"/>
          <w:sz w:val="20"/>
          <w:szCs w:val="20"/>
          <w:lang w:val="en-GB"/>
        </w:rPr>
        <w:t xml:space="preserve"> </w:t>
      </w:r>
      <w:r>
        <w:rPr>
          <w:rFonts w:hint="eastAsia"/>
          <w:kern w:val="0"/>
          <w:sz w:val="20"/>
          <w:szCs w:val="20"/>
          <w:lang w:val="en-GB"/>
        </w:rPr>
        <w:t xml:space="preserve">on </w:t>
      </w:r>
      <w:r>
        <w:rPr>
          <w:kern w:val="0"/>
          <w:sz w:val="20"/>
          <w:szCs w:val="20"/>
          <w:lang w:val="en-GB"/>
        </w:rPr>
        <w:t>impacts</w:t>
      </w:r>
      <w:r>
        <w:rPr>
          <w:rFonts w:hint="eastAsia"/>
          <w:kern w:val="0"/>
          <w:sz w:val="20"/>
          <w:szCs w:val="20"/>
          <w:lang w:val="en-GB"/>
        </w:rPr>
        <w:t xml:space="preserve"> of </w:t>
      </w:r>
      <w:r>
        <w:rPr>
          <w:kern w:val="0"/>
          <w:sz w:val="20"/>
          <w:szCs w:val="20"/>
          <w:lang w:val="en-GB"/>
        </w:rPr>
        <w:t>larger RTT on timing relationship</w:t>
      </w:r>
      <w:r>
        <w:rPr>
          <w:kern w:val="0"/>
          <w:sz w:val="20"/>
          <w:szCs w:val="20"/>
        </w:rPr>
        <w:t xml:space="preserve"> is conducted, </w:t>
      </w:r>
      <w:r>
        <w:rPr>
          <w:kern w:val="0"/>
          <w:sz w:val="20"/>
          <w:szCs w:val="20"/>
          <w:lang w:val="en-GB"/>
        </w:rPr>
        <w:t xml:space="preserve">with following </w:t>
      </w:r>
      <w:r>
        <w:rPr>
          <w:rFonts w:hint="eastAsia"/>
          <w:kern w:val="0"/>
          <w:sz w:val="20"/>
          <w:szCs w:val="20"/>
        </w:rPr>
        <w:t xml:space="preserve">observations and </w:t>
      </w:r>
      <w:r>
        <w:rPr>
          <w:kern w:val="0"/>
          <w:sz w:val="20"/>
          <w:szCs w:val="20"/>
          <w:lang w:val="en-GB"/>
        </w:rPr>
        <w:t xml:space="preserve">proposals: </w:t>
      </w:r>
    </w:p>
    <w:p w:rsidR="001B2A35" w:rsidRDefault="00655E0C">
      <w:pPr>
        <w:pStyle w:val="af2"/>
        <w:adjustRightInd w:val="0"/>
        <w:snapToGrid w:val="0"/>
        <w:spacing w:beforeLines="50" w:before="156" w:afterLines="50" w:after="156"/>
        <w:ind w:firstLineChars="0" w:firstLine="0"/>
        <w:rPr>
          <w:i/>
          <w:iCs/>
          <w:sz w:val="20"/>
          <w:szCs w:val="20"/>
        </w:rPr>
      </w:pPr>
      <w:r>
        <w:rPr>
          <w:rFonts w:hint="eastAsia"/>
          <w:b/>
          <w:bCs/>
          <w:i/>
          <w:iCs/>
          <w:sz w:val="20"/>
          <w:szCs w:val="20"/>
        </w:rPr>
        <w:t>Observation-1:</w:t>
      </w:r>
      <w:r>
        <w:rPr>
          <w:rFonts w:hint="eastAsia"/>
          <w:sz w:val="20"/>
          <w:szCs w:val="20"/>
        </w:rPr>
        <w:t xml:space="preserve"> </w:t>
      </w:r>
      <w:r>
        <w:rPr>
          <w:rFonts w:hint="eastAsia"/>
          <w:i/>
          <w:iCs/>
          <w:sz w:val="20"/>
          <w:szCs w:val="20"/>
        </w:rPr>
        <w:t xml:space="preserve">Collision between UL </w:t>
      </w:r>
      <w:r>
        <w:rPr>
          <w:i/>
          <w:iCs/>
          <w:sz w:val="20"/>
          <w:szCs w:val="20"/>
        </w:rPr>
        <w:t>transmission</w:t>
      </w:r>
      <w:r>
        <w:rPr>
          <w:rFonts w:hint="eastAsia"/>
          <w:i/>
          <w:iCs/>
          <w:sz w:val="20"/>
          <w:szCs w:val="20"/>
        </w:rPr>
        <w:t>s and</w:t>
      </w:r>
      <w:r>
        <w:rPr>
          <w:i/>
          <w:iCs/>
          <w:sz w:val="20"/>
          <w:szCs w:val="20"/>
        </w:rPr>
        <w:t xml:space="preserve"> </w:t>
      </w:r>
      <w:r>
        <w:rPr>
          <w:rFonts w:hint="eastAsia"/>
          <w:i/>
          <w:iCs/>
          <w:sz w:val="20"/>
          <w:szCs w:val="20"/>
        </w:rPr>
        <w:t>corresponding downlink scheduling will be avoid</w:t>
      </w:r>
      <w:r>
        <w:rPr>
          <w:i/>
          <w:iCs/>
          <w:sz w:val="20"/>
          <w:szCs w:val="20"/>
        </w:rPr>
        <w:t>ed</w:t>
      </w:r>
      <w:r>
        <w:rPr>
          <w:rFonts w:hint="eastAsia"/>
          <w:i/>
          <w:iCs/>
          <w:sz w:val="20"/>
          <w:szCs w:val="20"/>
        </w:rPr>
        <w:t xml:space="preserve"> by </w:t>
      </w:r>
      <w:r>
        <w:rPr>
          <w:i/>
          <w:iCs/>
          <w:sz w:val="20"/>
          <w:szCs w:val="20"/>
        </w:rPr>
        <w:t xml:space="preserve">proper configuration of </w:t>
      </w:r>
      <w:r>
        <w:rPr>
          <w:rFonts w:hint="eastAsia"/>
          <w:i/>
          <w:iCs/>
          <w:sz w:val="20"/>
          <w:szCs w:val="20"/>
        </w:rPr>
        <w:t>K_offset</w:t>
      </w:r>
      <w:r>
        <w:rPr>
          <w:i/>
          <w:iCs/>
          <w:sz w:val="20"/>
          <w:szCs w:val="20"/>
        </w:rPr>
        <w:t>.</w:t>
      </w:r>
    </w:p>
    <w:p w:rsidR="001B2A35" w:rsidRDefault="00655E0C">
      <w:pPr>
        <w:pStyle w:val="af2"/>
        <w:adjustRightInd w:val="0"/>
        <w:snapToGrid w:val="0"/>
        <w:spacing w:beforeLines="50" w:before="156" w:afterLines="50" w:after="156"/>
        <w:ind w:firstLineChars="0" w:firstLine="0"/>
        <w:rPr>
          <w:i/>
          <w:iCs/>
          <w:sz w:val="20"/>
          <w:szCs w:val="20"/>
        </w:rPr>
      </w:pPr>
      <w:r>
        <w:rPr>
          <w:rFonts w:hint="eastAsia"/>
          <w:b/>
          <w:bCs/>
          <w:i/>
          <w:iCs/>
          <w:sz w:val="20"/>
          <w:szCs w:val="20"/>
        </w:rPr>
        <w:t>Observation-2:</w:t>
      </w:r>
      <w:r>
        <w:rPr>
          <w:rFonts w:hint="eastAsia"/>
          <w:sz w:val="20"/>
          <w:szCs w:val="20"/>
        </w:rPr>
        <w:t xml:space="preserve"> </w:t>
      </w:r>
      <w:r>
        <w:rPr>
          <w:i/>
          <w:sz w:val="20"/>
          <w:szCs w:val="20"/>
        </w:rPr>
        <w:t xml:space="preserve">Configuration of UE-specific K_offset based on the knowledge of UE-specific TA can further enhance the performance along with the handling of </w:t>
      </w:r>
      <w:r>
        <w:rPr>
          <w:i/>
          <w:iCs/>
          <w:sz w:val="20"/>
          <w:szCs w:val="20"/>
        </w:rPr>
        <w:t>UL-DL collision for FDD-HD UE.</w:t>
      </w:r>
    </w:p>
    <w:p w:rsidR="001B2A35" w:rsidRDefault="00655E0C">
      <w:pPr>
        <w:adjustRightInd w:val="0"/>
        <w:snapToGrid w:val="0"/>
        <w:spacing w:beforeLines="50" w:before="156" w:afterLines="50" w:after="156"/>
        <w:rPr>
          <w:i/>
          <w:iCs/>
          <w:sz w:val="20"/>
          <w:szCs w:val="20"/>
        </w:rPr>
      </w:pPr>
      <w:r>
        <w:rPr>
          <w:b/>
          <w:bCs/>
          <w:i/>
          <w:iCs/>
          <w:sz w:val="20"/>
          <w:szCs w:val="20"/>
        </w:rPr>
        <w:t>Proposal-</w:t>
      </w:r>
      <w:r>
        <w:rPr>
          <w:rFonts w:hint="eastAsia"/>
          <w:b/>
          <w:bCs/>
          <w:i/>
          <w:iCs/>
          <w:sz w:val="20"/>
          <w:szCs w:val="20"/>
        </w:rPr>
        <w:t>1</w:t>
      </w:r>
      <w:r>
        <w:rPr>
          <w:b/>
          <w:bCs/>
          <w:i/>
          <w:iCs/>
          <w:sz w:val="20"/>
          <w:szCs w:val="20"/>
        </w:rPr>
        <w:t xml:space="preserve">: </w:t>
      </w:r>
      <w:r>
        <w:rPr>
          <w:rFonts w:hint="eastAsia"/>
          <w:bCs/>
          <w:i/>
          <w:iCs/>
          <w:sz w:val="20"/>
          <w:szCs w:val="20"/>
        </w:rPr>
        <w:t>T</w:t>
      </w:r>
      <w:r>
        <w:rPr>
          <w:bCs/>
          <w:i/>
          <w:iCs/>
          <w:sz w:val="20"/>
          <w:szCs w:val="20"/>
        </w:rPr>
        <w:t>he TA report should be considered</w:t>
      </w:r>
      <w:r>
        <w:rPr>
          <w:rFonts w:hint="eastAsia"/>
          <w:bCs/>
          <w:i/>
          <w:iCs/>
          <w:sz w:val="20"/>
          <w:szCs w:val="20"/>
        </w:rPr>
        <w:t xml:space="preserve"> to avoid UL-DL collisions </w:t>
      </w:r>
      <w:r>
        <w:rPr>
          <w:bCs/>
          <w:i/>
          <w:iCs/>
          <w:sz w:val="20"/>
          <w:szCs w:val="20"/>
        </w:rPr>
        <w:t xml:space="preserve">by enabling the configuration of UE-specific K_offset for </w:t>
      </w:r>
      <w:r>
        <w:rPr>
          <w:rFonts w:hint="eastAsia"/>
          <w:bCs/>
          <w:i/>
          <w:iCs/>
          <w:sz w:val="20"/>
          <w:szCs w:val="20"/>
        </w:rPr>
        <w:t xml:space="preserve">FDD-HD UE. Details of </w:t>
      </w:r>
      <w:r>
        <w:rPr>
          <w:rFonts w:hint="eastAsia"/>
          <w:i/>
          <w:iCs/>
          <w:sz w:val="20"/>
          <w:szCs w:val="20"/>
        </w:rPr>
        <w:t>TA report should be considered in the normative work.</w:t>
      </w:r>
    </w:p>
    <w:p w:rsidR="001B2A35" w:rsidRDefault="00655E0C">
      <w:pPr>
        <w:adjustRightInd w:val="0"/>
        <w:snapToGrid w:val="0"/>
        <w:spacing w:beforeLines="50" w:before="156" w:afterLines="50" w:after="156"/>
        <w:rPr>
          <w:sz w:val="20"/>
          <w:szCs w:val="20"/>
        </w:rPr>
      </w:pPr>
      <w:r>
        <w:rPr>
          <w:b/>
          <w:bCs/>
          <w:i/>
          <w:iCs/>
          <w:sz w:val="20"/>
          <w:szCs w:val="20"/>
        </w:rPr>
        <w:t>Proposal-</w:t>
      </w:r>
      <w:r>
        <w:rPr>
          <w:rFonts w:hint="eastAsia"/>
          <w:b/>
          <w:bCs/>
          <w:i/>
          <w:iCs/>
          <w:sz w:val="20"/>
          <w:szCs w:val="20"/>
        </w:rPr>
        <w:t>2</w:t>
      </w:r>
      <w:r>
        <w:rPr>
          <w:b/>
          <w:bCs/>
          <w:i/>
          <w:iCs/>
          <w:sz w:val="20"/>
          <w:szCs w:val="20"/>
        </w:rPr>
        <w:t xml:space="preserve">: </w:t>
      </w:r>
      <w:r>
        <w:rPr>
          <w:bCs/>
          <w:i/>
          <w:iCs/>
          <w:sz w:val="20"/>
          <w:szCs w:val="20"/>
        </w:rPr>
        <w:t>In case of segment pre-compensation, the value of reported TA can be either the first or last TA values applied at corresponding segment.</w:t>
      </w:r>
    </w:p>
    <w:p w:rsidR="00AD3D92" w:rsidRDefault="00AD3D92" w:rsidP="00AD3D92">
      <w:pPr>
        <w:adjustRightInd w:val="0"/>
        <w:snapToGrid w:val="0"/>
        <w:spacing w:beforeLines="50" w:before="156" w:afterLines="50" w:after="156"/>
        <w:rPr>
          <w:i/>
          <w:iCs/>
          <w:sz w:val="20"/>
          <w:szCs w:val="20"/>
        </w:rPr>
      </w:pPr>
      <w:r>
        <w:rPr>
          <w:rFonts w:hint="eastAsia"/>
          <w:b/>
          <w:bCs/>
          <w:i/>
          <w:iCs/>
          <w:sz w:val="20"/>
          <w:szCs w:val="20"/>
        </w:rPr>
        <w:t>Proposal-3:</w:t>
      </w:r>
      <w:r>
        <w:rPr>
          <w:rFonts w:hint="eastAsia"/>
          <w:sz w:val="20"/>
          <w:szCs w:val="20"/>
        </w:rPr>
        <w:t xml:space="preserve"> </w:t>
      </w:r>
      <w:r>
        <w:rPr>
          <w:rFonts w:hint="eastAsia"/>
          <w:i/>
          <w:iCs/>
          <w:sz w:val="20"/>
          <w:szCs w:val="20"/>
        </w:rPr>
        <w:t>Current restrictions on NPDCCH monitoring in specification can be reused with specification</w:t>
      </w:r>
      <w:r>
        <w:rPr>
          <w:i/>
          <w:iCs/>
          <w:sz w:val="20"/>
          <w:szCs w:val="20"/>
        </w:rPr>
        <w:t xml:space="preserve"> </w:t>
      </w:r>
      <w:r>
        <w:rPr>
          <w:rFonts w:hint="eastAsia"/>
          <w:i/>
          <w:iCs/>
          <w:sz w:val="20"/>
          <w:szCs w:val="20"/>
        </w:rPr>
        <w:t>adjustment</w:t>
      </w:r>
      <w:r>
        <w:rPr>
          <w:i/>
          <w:iCs/>
          <w:sz w:val="20"/>
          <w:szCs w:val="20"/>
        </w:rPr>
        <w:t xml:space="preserve"> on the timing description after </w:t>
      </w:r>
      <w:r>
        <w:rPr>
          <w:rFonts w:hint="eastAsia"/>
          <w:i/>
          <w:iCs/>
          <w:sz w:val="20"/>
          <w:szCs w:val="20"/>
        </w:rPr>
        <w:t>introduction of K_offset.</w:t>
      </w:r>
    </w:p>
    <w:p w:rsidR="001B2A35" w:rsidRDefault="00655E0C">
      <w:pPr>
        <w:rPr>
          <w:sz w:val="20"/>
          <w:szCs w:val="20"/>
        </w:rPr>
      </w:pPr>
      <w:r>
        <w:rPr>
          <w:b/>
          <w:bCs/>
          <w:i/>
          <w:iCs/>
          <w:sz w:val="20"/>
          <w:szCs w:val="20"/>
        </w:rPr>
        <w:t>Proposal</w:t>
      </w:r>
      <w:r>
        <w:rPr>
          <w:rFonts w:hint="eastAsia"/>
          <w:b/>
          <w:bCs/>
          <w:i/>
          <w:iCs/>
          <w:sz w:val="20"/>
          <w:szCs w:val="20"/>
        </w:rPr>
        <w:t>-4:</w:t>
      </w:r>
      <w:r>
        <w:rPr>
          <w:rFonts w:hint="eastAsia"/>
          <w:sz w:val="20"/>
          <w:szCs w:val="20"/>
        </w:rPr>
        <w:t xml:space="preserve"> </w:t>
      </w:r>
      <w:r>
        <w:rPr>
          <w:rFonts w:hint="eastAsia"/>
          <w:i/>
          <w:iCs/>
          <w:sz w:val="20"/>
          <w:szCs w:val="20"/>
        </w:rPr>
        <w:t xml:space="preserve">For NB-IoT over NTN, applying slot </w:t>
      </w:r>
      <w:proofErr w:type="spellStart"/>
      <w:r>
        <w:rPr>
          <w:rFonts w:hint="eastAsia"/>
          <w:i/>
          <w:iCs/>
          <w:sz w:val="20"/>
          <w:szCs w:val="20"/>
        </w:rPr>
        <w:t>n+k+offset</w:t>
      </w:r>
      <w:proofErr w:type="spellEnd"/>
      <w:r>
        <w:rPr>
          <w:rFonts w:hint="eastAsia"/>
          <w:i/>
          <w:iCs/>
          <w:sz w:val="20"/>
          <w:szCs w:val="20"/>
        </w:rPr>
        <w:t xml:space="preserve"> as the first slot of the transmission of the </w:t>
      </w:r>
      <w:r>
        <w:rPr>
          <w:i/>
          <w:iCs/>
          <w:sz w:val="20"/>
          <w:szCs w:val="20"/>
        </w:rPr>
        <w:t>codeword</w:t>
      </w:r>
      <w:r>
        <w:rPr>
          <w:rFonts w:hint="eastAsia"/>
          <w:i/>
          <w:iCs/>
          <w:sz w:val="20"/>
          <w:szCs w:val="20"/>
        </w:rPr>
        <w:t xml:space="preserve"> for scrambling initialization sequence calculation</w:t>
      </w:r>
      <w:r>
        <w:rPr>
          <w:i/>
          <w:iCs/>
          <w:sz w:val="20"/>
          <w:szCs w:val="20"/>
        </w:rPr>
        <w:t xml:space="preserve"> is expected without additional specification impacts</w:t>
      </w:r>
      <w:r>
        <w:rPr>
          <w:rFonts w:hint="eastAsia"/>
          <w:i/>
          <w:iCs/>
          <w:sz w:val="20"/>
          <w:szCs w:val="20"/>
        </w:rPr>
        <w:t>.</w:t>
      </w:r>
    </w:p>
    <w:p w:rsidR="001B2A35" w:rsidRDefault="00655E0C">
      <w:pPr>
        <w:spacing w:beforeLines="50" w:before="156"/>
        <w:rPr>
          <w:bCs/>
          <w:i/>
          <w:iCs/>
          <w:sz w:val="20"/>
          <w:szCs w:val="20"/>
        </w:rPr>
      </w:pPr>
      <w:r>
        <w:rPr>
          <w:b/>
          <w:bCs/>
          <w:i/>
          <w:iCs/>
          <w:sz w:val="20"/>
          <w:szCs w:val="20"/>
        </w:rPr>
        <w:t>Proposal</w:t>
      </w:r>
      <w:r>
        <w:rPr>
          <w:rFonts w:hint="eastAsia"/>
          <w:b/>
          <w:bCs/>
          <w:i/>
          <w:iCs/>
          <w:sz w:val="20"/>
          <w:szCs w:val="20"/>
        </w:rPr>
        <w:t>-5</w:t>
      </w:r>
      <w:r>
        <w:rPr>
          <w:b/>
          <w:bCs/>
          <w:i/>
          <w:iCs/>
          <w:sz w:val="20"/>
          <w:szCs w:val="20"/>
        </w:rPr>
        <w:t xml:space="preserve">: </w:t>
      </w:r>
      <w:r>
        <w:rPr>
          <w:bCs/>
          <w:i/>
          <w:iCs/>
          <w:sz w:val="20"/>
          <w:szCs w:val="20"/>
        </w:rPr>
        <w:t xml:space="preserve">In </w:t>
      </w:r>
      <w:r>
        <w:rPr>
          <w:rFonts w:hint="eastAsia"/>
          <w:bCs/>
          <w:i/>
          <w:iCs/>
          <w:sz w:val="20"/>
          <w:szCs w:val="20"/>
        </w:rPr>
        <w:t>NB-IoT/</w:t>
      </w:r>
      <w:r>
        <w:rPr>
          <w:bCs/>
          <w:i/>
          <w:iCs/>
          <w:sz w:val="20"/>
          <w:szCs w:val="20"/>
        </w:rPr>
        <w:t>eMTC over NTN, no modification is needed</w:t>
      </w:r>
      <w:r>
        <w:rPr>
          <w:rFonts w:hint="eastAsia"/>
          <w:bCs/>
          <w:i/>
          <w:iCs/>
          <w:sz w:val="20"/>
          <w:szCs w:val="20"/>
        </w:rPr>
        <w:t xml:space="preserve"> for timing of PDCCH order to PRACH</w:t>
      </w:r>
      <w:r>
        <w:rPr>
          <w:bCs/>
          <w:i/>
          <w:iCs/>
          <w:sz w:val="20"/>
          <w:szCs w:val="20"/>
        </w:rPr>
        <w:t>.</w:t>
      </w:r>
    </w:p>
    <w:p w:rsidR="001B2A35" w:rsidRDefault="00655E0C">
      <w:pPr>
        <w:spacing w:beforeLines="50" w:before="156"/>
        <w:rPr>
          <w:bCs/>
          <w:i/>
          <w:iCs/>
          <w:sz w:val="20"/>
          <w:szCs w:val="20"/>
        </w:rPr>
      </w:pPr>
      <w:r>
        <w:rPr>
          <w:b/>
          <w:bCs/>
          <w:i/>
          <w:iCs/>
          <w:sz w:val="20"/>
          <w:szCs w:val="20"/>
        </w:rPr>
        <w:t>Proposal</w:t>
      </w:r>
      <w:r>
        <w:rPr>
          <w:rFonts w:hint="eastAsia"/>
          <w:b/>
          <w:bCs/>
          <w:i/>
          <w:iCs/>
          <w:sz w:val="20"/>
          <w:szCs w:val="20"/>
        </w:rPr>
        <w:t>-6</w:t>
      </w:r>
      <w:r>
        <w:rPr>
          <w:b/>
          <w:bCs/>
          <w:i/>
          <w:iCs/>
          <w:sz w:val="20"/>
          <w:szCs w:val="20"/>
        </w:rPr>
        <w:t xml:space="preserve">: </w:t>
      </w:r>
      <w:r>
        <w:rPr>
          <w:bCs/>
          <w:i/>
          <w:iCs/>
          <w:sz w:val="20"/>
          <w:szCs w:val="20"/>
        </w:rPr>
        <w:t xml:space="preserve">In </w:t>
      </w:r>
      <w:r>
        <w:rPr>
          <w:rFonts w:hint="eastAsia"/>
          <w:bCs/>
          <w:i/>
          <w:iCs/>
          <w:sz w:val="20"/>
          <w:szCs w:val="20"/>
        </w:rPr>
        <w:t>NB-IoT/</w:t>
      </w:r>
      <w:r>
        <w:rPr>
          <w:bCs/>
          <w:i/>
          <w:iCs/>
          <w:sz w:val="20"/>
          <w:szCs w:val="20"/>
        </w:rPr>
        <w:t>eMTC over NTN,</w:t>
      </w:r>
      <w:r>
        <w:rPr>
          <w:rFonts w:hint="eastAsia"/>
          <w:bCs/>
          <w:i/>
          <w:iCs/>
          <w:sz w:val="20"/>
          <w:szCs w:val="20"/>
        </w:rPr>
        <w:t xml:space="preserve"> </w:t>
      </w:r>
      <w:r w:rsidR="002212A7">
        <w:rPr>
          <w:rFonts w:hint="eastAsia"/>
          <w:bCs/>
          <w:i/>
          <w:iCs/>
          <w:sz w:val="20"/>
          <w:szCs w:val="20"/>
        </w:rPr>
        <w:t>enhancement</w:t>
      </w:r>
      <w:r w:rsidR="002212A7">
        <w:rPr>
          <w:bCs/>
          <w:i/>
          <w:iCs/>
          <w:sz w:val="20"/>
          <w:szCs w:val="20"/>
        </w:rPr>
        <w:t xml:space="preserve"> on the </w:t>
      </w:r>
      <w:r>
        <w:rPr>
          <w:rFonts w:hint="eastAsia"/>
          <w:bCs/>
          <w:i/>
          <w:iCs/>
          <w:sz w:val="20"/>
          <w:szCs w:val="20"/>
        </w:rPr>
        <w:t>timing of PRACH preamble retransmission is needed</w:t>
      </w:r>
      <w:r>
        <w:rPr>
          <w:bCs/>
          <w:i/>
          <w:iCs/>
          <w:sz w:val="20"/>
          <w:szCs w:val="20"/>
        </w:rPr>
        <w:t>.</w:t>
      </w:r>
    </w:p>
    <w:p w:rsidR="001B2A35" w:rsidRDefault="00655E0C">
      <w:pPr>
        <w:spacing w:beforeLines="50" w:before="156"/>
        <w:rPr>
          <w:sz w:val="20"/>
          <w:szCs w:val="20"/>
        </w:rPr>
      </w:pPr>
      <w:r>
        <w:rPr>
          <w:b/>
          <w:bCs/>
          <w:i/>
          <w:iCs/>
          <w:sz w:val="20"/>
          <w:szCs w:val="20"/>
        </w:rPr>
        <w:t>Proposal</w:t>
      </w:r>
      <w:r>
        <w:rPr>
          <w:rFonts w:hint="eastAsia"/>
          <w:b/>
          <w:bCs/>
          <w:i/>
          <w:iCs/>
          <w:sz w:val="20"/>
          <w:szCs w:val="20"/>
        </w:rPr>
        <w:t>-7</w:t>
      </w:r>
      <w:r>
        <w:rPr>
          <w:b/>
          <w:bCs/>
          <w:i/>
          <w:iCs/>
          <w:sz w:val="20"/>
          <w:szCs w:val="20"/>
        </w:rPr>
        <w:t xml:space="preserve">: </w:t>
      </w:r>
      <w:r>
        <w:rPr>
          <w:rFonts w:hint="eastAsia"/>
          <w:i/>
          <w:iCs/>
          <w:sz w:val="20"/>
          <w:szCs w:val="20"/>
        </w:rPr>
        <w:t>T</w:t>
      </w:r>
      <w:r>
        <w:rPr>
          <w:rFonts w:hint="eastAsia"/>
          <w:bCs/>
          <w:i/>
          <w:iCs/>
          <w:sz w:val="20"/>
          <w:szCs w:val="20"/>
        </w:rPr>
        <w:t xml:space="preserve">he </w:t>
      </w:r>
      <w:r>
        <w:rPr>
          <w:bCs/>
          <w:i/>
          <w:iCs/>
          <w:sz w:val="20"/>
          <w:szCs w:val="20"/>
        </w:rPr>
        <w:t xml:space="preserve">GNSS measurement behaviors should be defined to mandate the UE to acquire its own position for UL synchronization. Detailed configuration on the </w:t>
      </w:r>
      <w:r>
        <w:rPr>
          <w:rFonts w:hint="eastAsia"/>
          <w:bCs/>
          <w:i/>
          <w:iCs/>
          <w:sz w:val="20"/>
          <w:szCs w:val="20"/>
        </w:rPr>
        <w:t xml:space="preserve">GNSS measurement </w:t>
      </w:r>
      <w:r>
        <w:rPr>
          <w:bCs/>
          <w:i/>
          <w:iCs/>
          <w:sz w:val="20"/>
          <w:szCs w:val="20"/>
        </w:rPr>
        <w:t>can be determined in normative phase.</w:t>
      </w:r>
    </w:p>
    <w:p w:rsidR="001B2A35" w:rsidRDefault="00655E0C">
      <w:pPr>
        <w:spacing w:beforeLines="50" w:before="156"/>
        <w:rPr>
          <w:bCs/>
          <w:i/>
          <w:iCs/>
          <w:sz w:val="20"/>
          <w:szCs w:val="20"/>
        </w:rPr>
      </w:pPr>
      <w:r>
        <w:rPr>
          <w:b/>
          <w:bCs/>
          <w:i/>
          <w:iCs/>
          <w:sz w:val="20"/>
          <w:szCs w:val="20"/>
        </w:rPr>
        <w:t>Proposal</w:t>
      </w:r>
      <w:r>
        <w:rPr>
          <w:rFonts w:hint="eastAsia"/>
          <w:b/>
          <w:bCs/>
          <w:i/>
          <w:iCs/>
          <w:sz w:val="20"/>
          <w:szCs w:val="20"/>
        </w:rPr>
        <w:t>-8</w:t>
      </w:r>
      <w:r>
        <w:rPr>
          <w:b/>
          <w:bCs/>
          <w:i/>
          <w:iCs/>
          <w:sz w:val="20"/>
          <w:szCs w:val="20"/>
        </w:rPr>
        <w:t xml:space="preserve">: </w:t>
      </w:r>
      <w:r>
        <w:rPr>
          <w:rFonts w:hint="eastAsia"/>
          <w:i/>
          <w:iCs/>
          <w:sz w:val="20"/>
          <w:szCs w:val="20"/>
        </w:rPr>
        <w:t>UL compensation gap enhancement to aid segment pre-compensation should be considered</w:t>
      </w:r>
      <w:r>
        <w:rPr>
          <w:i/>
          <w:iCs/>
          <w:sz w:val="20"/>
          <w:szCs w:val="20"/>
        </w:rPr>
        <w:t>.</w:t>
      </w:r>
    </w:p>
    <w:p w:rsidR="001B2A35" w:rsidRDefault="00655E0C">
      <w:pPr>
        <w:tabs>
          <w:tab w:val="left" w:pos="432"/>
          <w:tab w:val="left" w:pos="720"/>
          <w:tab w:val="left" w:pos="4827"/>
        </w:tabs>
        <w:autoSpaceDE w:val="0"/>
        <w:autoSpaceDN w:val="0"/>
        <w:adjustRightInd w:val="0"/>
        <w:spacing w:after="120"/>
        <w:ind w:left="432" w:hanging="432"/>
        <w:outlineLvl w:val="0"/>
        <w:rPr>
          <w:sz w:val="22"/>
          <w:szCs w:val="22"/>
          <w:lang w:val="en-GB"/>
        </w:rPr>
      </w:pPr>
      <w:r>
        <w:rPr>
          <w:b/>
          <w:bCs/>
          <w:sz w:val="28"/>
          <w:szCs w:val="28"/>
          <w:lang w:val="en-GB" w:eastAsia="en-US"/>
        </w:rPr>
        <w:t>References</w:t>
      </w:r>
      <w:bookmarkEnd w:id="2"/>
      <w:bookmarkEnd w:id="3"/>
      <w:bookmarkEnd w:id="4"/>
    </w:p>
    <w:p w:rsidR="001B2A35" w:rsidRDefault="00655E0C">
      <w:pPr>
        <w:pStyle w:val="ListParagraph1"/>
        <w:widowControl/>
        <w:numPr>
          <w:ilvl w:val="0"/>
          <w:numId w:val="11"/>
        </w:numPr>
        <w:jc w:val="left"/>
        <w:rPr>
          <w:sz w:val="20"/>
          <w:szCs w:val="20"/>
        </w:rPr>
      </w:pPr>
      <w:bookmarkStart w:id="9" w:name="_Ref54300673"/>
      <w:bookmarkStart w:id="10" w:name="_Ref40282619"/>
      <w:r>
        <w:rPr>
          <w:rFonts w:hint="eastAsia"/>
          <w:sz w:val="20"/>
          <w:szCs w:val="20"/>
        </w:rPr>
        <w:t>Chair's Notes RAN1#104b-e final.</w:t>
      </w:r>
      <w:bookmarkStart w:id="11" w:name="_Ref67559822"/>
    </w:p>
    <w:p w:rsidR="001B2A35" w:rsidRDefault="00655E0C">
      <w:pPr>
        <w:pStyle w:val="ListParagraph1"/>
        <w:widowControl/>
        <w:numPr>
          <w:ilvl w:val="0"/>
          <w:numId w:val="11"/>
        </w:numPr>
        <w:jc w:val="left"/>
        <w:rPr>
          <w:sz w:val="20"/>
          <w:szCs w:val="20"/>
        </w:rPr>
      </w:pPr>
      <w:r>
        <w:rPr>
          <w:sz w:val="20"/>
          <w:szCs w:val="20"/>
        </w:rPr>
        <w:t>R1-2104083</w:t>
      </w:r>
      <w:r>
        <w:rPr>
          <w:rFonts w:hint="eastAsia"/>
          <w:sz w:val="20"/>
          <w:szCs w:val="20"/>
        </w:rPr>
        <w:t xml:space="preserve"> </w:t>
      </w:r>
      <w:r>
        <w:rPr>
          <w:sz w:val="20"/>
          <w:szCs w:val="20"/>
        </w:rPr>
        <w:t>FL summary #4 of AI 8.15.3: Timing relationship for IoT-NTN</w:t>
      </w:r>
      <w:r>
        <w:rPr>
          <w:rFonts w:hint="eastAsia"/>
          <w:sz w:val="20"/>
          <w:szCs w:val="20"/>
        </w:rPr>
        <w:t>, Sony.</w:t>
      </w:r>
      <w:bookmarkEnd w:id="11"/>
    </w:p>
    <w:p w:rsidR="001B2A35" w:rsidRDefault="00655E0C">
      <w:pPr>
        <w:pStyle w:val="ListParagraph1"/>
        <w:widowControl/>
        <w:numPr>
          <w:ilvl w:val="0"/>
          <w:numId w:val="11"/>
        </w:numPr>
        <w:jc w:val="left"/>
        <w:rPr>
          <w:sz w:val="20"/>
          <w:szCs w:val="20"/>
        </w:rPr>
      </w:pPr>
      <w:r>
        <w:rPr>
          <w:rFonts w:hint="eastAsia"/>
          <w:sz w:val="20"/>
          <w:szCs w:val="20"/>
        </w:rPr>
        <w:t>R1-2102918 Discussion on timing relationship for IoT-NTN</w:t>
      </w:r>
      <w:r>
        <w:rPr>
          <w:sz w:val="20"/>
          <w:szCs w:val="20"/>
        </w:rPr>
        <w:t>, ZTE.</w:t>
      </w:r>
    </w:p>
    <w:p w:rsidR="001B2A35" w:rsidRDefault="00655E0C">
      <w:pPr>
        <w:pStyle w:val="ListParagraph1"/>
        <w:widowControl/>
        <w:numPr>
          <w:ilvl w:val="0"/>
          <w:numId w:val="11"/>
        </w:numPr>
        <w:jc w:val="left"/>
        <w:rPr>
          <w:sz w:val="20"/>
          <w:szCs w:val="20"/>
        </w:rPr>
      </w:pPr>
      <w:r>
        <w:rPr>
          <w:rFonts w:hint="eastAsia"/>
          <w:sz w:val="20"/>
          <w:szCs w:val="20"/>
        </w:rPr>
        <w:t>TS 36.211 (E-UTRA);</w:t>
      </w:r>
      <w:bookmarkStart w:id="12" w:name="OLE_LINK44"/>
      <w:bookmarkStart w:id="13" w:name="OLE_LINK45"/>
      <w:r>
        <w:rPr>
          <w:rFonts w:hint="eastAsia"/>
          <w:sz w:val="20"/>
          <w:szCs w:val="20"/>
        </w:rPr>
        <w:t xml:space="preserve"> Physical channels and modulation</w:t>
      </w:r>
      <w:bookmarkEnd w:id="12"/>
      <w:bookmarkEnd w:id="13"/>
      <w:r>
        <w:rPr>
          <w:rFonts w:hint="eastAsia"/>
          <w:sz w:val="20"/>
          <w:szCs w:val="20"/>
        </w:rPr>
        <w:t>.</w:t>
      </w:r>
    </w:p>
    <w:p w:rsidR="001B2A35" w:rsidRDefault="00655E0C">
      <w:pPr>
        <w:pStyle w:val="ListParagraph1"/>
        <w:widowControl/>
        <w:numPr>
          <w:ilvl w:val="0"/>
          <w:numId w:val="11"/>
        </w:numPr>
        <w:jc w:val="left"/>
        <w:rPr>
          <w:sz w:val="20"/>
          <w:szCs w:val="20"/>
        </w:rPr>
      </w:pPr>
      <w:r>
        <w:rPr>
          <w:rFonts w:hint="eastAsia"/>
          <w:sz w:val="20"/>
          <w:szCs w:val="20"/>
        </w:rPr>
        <w:t>TS 36.213 (E-UTRA); Physical layer procedures.</w:t>
      </w:r>
    </w:p>
    <w:bookmarkEnd w:id="9"/>
    <w:bookmarkEnd w:id="10"/>
    <w:p w:rsidR="001B2A35" w:rsidRPr="00366B63" w:rsidRDefault="007034AD" w:rsidP="007034AD">
      <w:pPr>
        <w:pStyle w:val="ListParagraph1"/>
        <w:widowControl/>
        <w:numPr>
          <w:ilvl w:val="0"/>
          <w:numId w:val="11"/>
        </w:numPr>
        <w:jc w:val="left"/>
        <w:rPr>
          <w:sz w:val="20"/>
          <w:szCs w:val="20"/>
        </w:rPr>
      </w:pPr>
      <w:r>
        <w:rPr>
          <w:sz w:val="20"/>
          <w:szCs w:val="20"/>
        </w:rPr>
        <w:t xml:space="preserve">R1-2105194 </w:t>
      </w:r>
      <w:r w:rsidRPr="007034AD">
        <w:rPr>
          <w:sz w:val="20"/>
          <w:szCs w:val="20"/>
        </w:rPr>
        <w:t>Discussion on the synchronization for IoT-NTN</w:t>
      </w:r>
    </w:p>
    <w:sectPr w:rsidR="001B2A35" w:rsidRPr="00366B63">
      <w:headerReference w:type="default" r:id="rId21"/>
      <w:footerReference w:type="even" r:id="rId22"/>
      <w:footerReference w:type="default" r:id="rId2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4E33" w:rsidRDefault="003A4E33">
      <w:r>
        <w:separator/>
      </w:r>
    </w:p>
  </w:endnote>
  <w:endnote w:type="continuationSeparator" w:id="0">
    <w:p w:rsidR="003A4E33" w:rsidRDefault="003A4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A35" w:rsidRDefault="00655E0C">
    <w:pPr>
      <w:pStyle w:val="a8"/>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1B2A35" w:rsidRDefault="001B2A35">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A35" w:rsidRDefault="00655E0C">
    <w:pPr>
      <w:pStyle w:val="a8"/>
      <w:framePr w:wrap="around" w:vAnchor="text" w:hAnchor="page" w:x="9541" w:yAlign="top"/>
      <w:rPr>
        <w:rStyle w:val="ae"/>
      </w:rPr>
    </w:pPr>
    <w:r>
      <w:rPr>
        <w:rStyle w:val="ae"/>
        <w:rFonts w:hint="eastAsia"/>
      </w:rPr>
      <w:t>第</w:t>
    </w:r>
    <w:r>
      <w:rPr>
        <w:rStyle w:val="ae"/>
      </w:rPr>
      <w:fldChar w:fldCharType="begin"/>
    </w:r>
    <w:r>
      <w:rPr>
        <w:rStyle w:val="ae"/>
      </w:rPr>
      <w:instrText xml:space="preserve">PAGE  </w:instrText>
    </w:r>
    <w:r>
      <w:rPr>
        <w:rStyle w:val="ae"/>
      </w:rPr>
      <w:fldChar w:fldCharType="separate"/>
    </w:r>
    <w:r w:rsidR="002212A7">
      <w:rPr>
        <w:rStyle w:val="ae"/>
        <w:noProof/>
      </w:rPr>
      <w:t>6</w:t>
    </w:r>
    <w:r>
      <w:rPr>
        <w:rStyle w:val="ae"/>
      </w:rPr>
      <w:fldChar w:fldCharType="end"/>
    </w:r>
    <w:r>
      <w:rPr>
        <w:rStyle w:val="ae"/>
        <w:rFonts w:hint="eastAsia"/>
      </w:rPr>
      <w:t>页</w:t>
    </w:r>
  </w:p>
  <w:p w:rsidR="001B2A35" w:rsidRDefault="00655E0C">
    <w:pPr>
      <w:pStyle w:val="a8"/>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4E33" w:rsidRDefault="003A4E33">
      <w:r>
        <w:separator/>
      </w:r>
    </w:p>
  </w:footnote>
  <w:footnote w:type="continuationSeparator" w:id="0">
    <w:p w:rsidR="003A4E33" w:rsidRDefault="003A4E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A35" w:rsidRDefault="001B2A35">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ECB45A"/>
    <w:multiLevelType w:val="singleLevel"/>
    <w:tmpl w:val="FBECB45A"/>
    <w:lvl w:ilvl="0">
      <w:start w:val="1"/>
      <w:numFmt w:val="bullet"/>
      <w:lvlText w:val=""/>
      <w:lvlJc w:val="left"/>
      <w:pPr>
        <w:ind w:left="420" w:hanging="420"/>
      </w:pPr>
      <w:rPr>
        <w:rFonts w:ascii="Wingdings" w:hAnsi="Wingdings" w:hint="default"/>
      </w:rPr>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5B946E4"/>
    <w:multiLevelType w:val="multilevel"/>
    <w:tmpl w:val="05B946E4"/>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CEB7AF6"/>
    <w:multiLevelType w:val="multilevel"/>
    <w:tmpl w:val="2CEB7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9129C4"/>
    <w:multiLevelType w:val="multilevel"/>
    <w:tmpl w:val="2E9129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9"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6F0E2FB9"/>
    <w:multiLevelType w:val="multilevel"/>
    <w:tmpl w:val="6F0E2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60"/>
    <w:rsid w:val="000032C0"/>
    <w:rsid w:val="000069D9"/>
    <w:rsid w:val="00007BE0"/>
    <w:rsid w:val="000128EC"/>
    <w:rsid w:val="00012C3C"/>
    <w:rsid w:val="000143DB"/>
    <w:rsid w:val="00014C15"/>
    <w:rsid w:val="0002095B"/>
    <w:rsid w:val="000235FD"/>
    <w:rsid w:val="000271BA"/>
    <w:rsid w:val="000315D3"/>
    <w:rsid w:val="0003172D"/>
    <w:rsid w:val="00034CEB"/>
    <w:rsid w:val="00036D12"/>
    <w:rsid w:val="00036EA2"/>
    <w:rsid w:val="00051A9A"/>
    <w:rsid w:val="0005504E"/>
    <w:rsid w:val="000617FD"/>
    <w:rsid w:val="00061B03"/>
    <w:rsid w:val="00062129"/>
    <w:rsid w:val="000634EC"/>
    <w:rsid w:val="00066857"/>
    <w:rsid w:val="00072450"/>
    <w:rsid w:val="00072DE6"/>
    <w:rsid w:val="0007390C"/>
    <w:rsid w:val="00074264"/>
    <w:rsid w:val="00075FD7"/>
    <w:rsid w:val="0007608F"/>
    <w:rsid w:val="000839E0"/>
    <w:rsid w:val="00083A1B"/>
    <w:rsid w:val="0008503F"/>
    <w:rsid w:val="000860A7"/>
    <w:rsid w:val="00092939"/>
    <w:rsid w:val="00096C22"/>
    <w:rsid w:val="0009735D"/>
    <w:rsid w:val="000B04E5"/>
    <w:rsid w:val="000B34AF"/>
    <w:rsid w:val="000C0DA1"/>
    <w:rsid w:val="000D06A6"/>
    <w:rsid w:val="000D12D3"/>
    <w:rsid w:val="000D554A"/>
    <w:rsid w:val="000E2826"/>
    <w:rsid w:val="000E4ABE"/>
    <w:rsid w:val="000E4EB6"/>
    <w:rsid w:val="000E5C69"/>
    <w:rsid w:val="000F47FE"/>
    <w:rsid w:val="000F6EAA"/>
    <w:rsid w:val="000F7E9B"/>
    <w:rsid w:val="0010144D"/>
    <w:rsid w:val="001031A2"/>
    <w:rsid w:val="00110D24"/>
    <w:rsid w:val="001169BE"/>
    <w:rsid w:val="0012115D"/>
    <w:rsid w:val="001226DB"/>
    <w:rsid w:val="00126145"/>
    <w:rsid w:val="00126D3F"/>
    <w:rsid w:val="00130A1B"/>
    <w:rsid w:val="00133FB7"/>
    <w:rsid w:val="001408A5"/>
    <w:rsid w:val="00141932"/>
    <w:rsid w:val="00141A65"/>
    <w:rsid w:val="00142AF4"/>
    <w:rsid w:val="001511F5"/>
    <w:rsid w:val="00152F6C"/>
    <w:rsid w:val="001613F4"/>
    <w:rsid w:val="00161D7B"/>
    <w:rsid w:val="00163058"/>
    <w:rsid w:val="001660EC"/>
    <w:rsid w:val="001673F0"/>
    <w:rsid w:val="001702C9"/>
    <w:rsid w:val="001711AA"/>
    <w:rsid w:val="00172A27"/>
    <w:rsid w:val="001748A8"/>
    <w:rsid w:val="001767E6"/>
    <w:rsid w:val="001808C5"/>
    <w:rsid w:val="00181F0D"/>
    <w:rsid w:val="00190A8D"/>
    <w:rsid w:val="00190C55"/>
    <w:rsid w:val="001911F6"/>
    <w:rsid w:val="001913BB"/>
    <w:rsid w:val="00191E4D"/>
    <w:rsid w:val="001930A7"/>
    <w:rsid w:val="001A1268"/>
    <w:rsid w:val="001A47DF"/>
    <w:rsid w:val="001A58CB"/>
    <w:rsid w:val="001A6E60"/>
    <w:rsid w:val="001B21A1"/>
    <w:rsid w:val="001B2856"/>
    <w:rsid w:val="001B2A35"/>
    <w:rsid w:val="001C11DF"/>
    <w:rsid w:val="001C1F92"/>
    <w:rsid w:val="001C45B2"/>
    <w:rsid w:val="001C4939"/>
    <w:rsid w:val="001C68FC"/>
    <w:rsid w:val="001D332D"/>
    <w:rsid w:val="001D734F"/>
    <w:rsid w:val="001E2CC4"/>
    <w:rsid w:val="001E318F"/>
    <w:rsid w:val="001E7D94"/>
    <w:rsid w:val="001F154F"/>
    <w:rsid w:val="001F1642"/>
    <w:rsid w:val="00214DB3"/>
    <w:rsid w:val="00214FA0"/>
    <w:rsid w:val="00215A8B"/>
    <w:rsid w:val="00216E0E"/>
    <w:rsid w:val="0022123A"/>
    <w:rsid w:val="002212A7"/>
    <w:rsid w:val="00222477"/>
    <w:rsid w:val="0022376C"/>
    <w:rsid w:val="002255C5"/>
    <w:rsid w:val="00227101"/>
    <w:rsid w:val="00227ADD"/>
    <w:rsid w:val="00230125"/>
    <w:rsid w:val="002310AC"/>
    <w:rsid w:val="002319CB"/>
    <w:rsid w:val="002333B7"/>
    <w:rsid w:val="002338DD"/>
    <w:rsid w:val="00236F4F"/>
    <w:rsid w:val="002400BB"/>
    <w:rsid w:val="002414B9"/>
    <w:rsid w:val="002417A7"/>
    <w:rsid w:val="00241D95"/>
    <w:rsid w:val="00243AAA"/>
    <w:rsid w:val="00244D42"/>
    <w:rsid w:val="0024534D"/>
    <w:rsid w:val="002467B3"/>
    <w:rsid w:val="002514AF"/>
    <w:rsid w:val="00251CE1"/>
    <w:rsid w:val="002521E3"/>
    <w:rsid w:val="002548D0"/>
    <w:rsid w:val="002560E0"/>
    <w:rsid w:val="0025754A"/>
    <w:rsid w:val="0027393B"/>
    <w:rsid w:val="00274654"/>
    <w:rsid w:val="00280924"/>
    <w:rsid w:val="002826DF"/>
    <w:rsid w:val="0029316F"/>
    <w:rsid w:val="00293BAA"/>
    <w:rsid w:val="00294255"/>
    <w:rsid w:val="0029455A"/>
    <w:rsid w:val="00294FBD"/>
    <w:rsid w:val="002A0854"/>
    <w:rsid w:val="002A0FEF"/>
    <w:rsid w:val="002A5266"/>
    <w:rsid w:val="002B00EB"/>
    <w:rsid w:val="002B0744"/>
    <w:rsid w:val="002B3AE6"/>
    <w:rsid w:val="002B52F4"/>
    <w:rsid w:val="002B6800"/>
    <w:rsid w:val="002C031F"/>
    <w:rsid w:val="002C3A02"/>
    <w:rsid w:val="002C50F0"/>
    <w:rsid w:val="002D0D22"/>
    <w:rsid w:val="002D35FA"/>
    <w:rsid w:val="002D5C68"/>
    <w:rsid w:val="002E300F"/>
    <w:rsid w:val="002E4DBD"/>
    <w:rsid w:val="002E5194"/>
    <w:rsid w:val="002E62F7"/>
    <w:rsid w:val="002E69E3"/>
    <w:rsid w:val="002F0DF8"/>
    <w:rsid w:val="002F1654"/>
    <w:rsid w:val="002F23FB"/>
    <w:rsid w:val="002F491B"/>
    <w:rsid w:val="002F5C62"/>
    <w:rsid w:val="002F7D80"/>
    <w:rsid w:val="003015A4"/>
    <w:rsid w:val="00306448"/>
    <w:rsid w:val="0030686A"/>
    <w:rsid w:val="00312C1A"/>
    <w:rsid w:val="00312DD1"/>
    <w:rsid w:val="00313CA2"/>
    <w:rsid w:val="00314958"/>
    <w:rsid w:val="00316AAB"/>
    <w:rsid w:val="00321C9A"/>
    <w:rsid w:val="0032203E"/>
    <w:rsid w:val="0032290C"/>
    <w:rsid w:val="00324201"/>
    <w:rsid w:val="003244B5"/>
    <w:rsid w:val="0032793A"/>
    <w:rsid w:val="00330954"/>
    <w:rsid w:val="0033176D"/>
    <w:rsid w:val="00331D0B"/>
    <w:rsid w:val="00332091"/>
    <w:rsid w:val="003329B2"/>
    <w:rsid w:val="00333476"/>
    <w:rsid w:val="00334B31"/>
    <w:rsid w:val="003434D8"/>
    <w:rsid w:val="00344D56"/>
    <w:rsid w:val="00345584"/>
    <w:rsid w:val="00346C36"/>
    <w:rsid w:val="003504B5"/>
    <w:rsid w:val="00352E30"/>
    <w:rsid w:val="003562B5"/>
    <w:rsid w:val="0036111C"/>
    <w:rsid w:val="003615AC"/>
    <w:rsid w:val="003619E7"/>
    <w:rsid w:val="00361E97"/>
    <w:rsid w:val="00363AE9"/>
    <w:rsid w:val="00365135"/>
    <w:rsid w:val="003655CA"/>
    <w:rsid w:val="00365BC1"/>
    <w:rsid w:val="003669A2"/>
    <w:rsid w:val="00366B63"/>
    <w:rsid w:val="00374E2E"/>
    <w:rsid w:val="00376DBC"/>
    <w:rsid w:val="00377136"/>
    <w:rsid w:val="003779EC"/>
    <w:rsid w:val="00377D32"/>
    <w:rsid w:val="0038293D"/>
    <w:rsid w:val="00383F4E"/>
    <w:rsid w:val="003A02AA"/>
    <w:rsid w:val="003A0822"/>
    <w:rsid w:val="003A2A06"/>
    <w:rsid w:val="003A2B58"/>
    <w:rsid w:val="003A4311"/>
    <w:rsid w:val="003A4E33"/>
    <w:rsid w:val="003B26F6"/>
    <w:rsid w:val="003B3B1B"/>
    <w:rsid w:val="003B72ED"/>
    <w:rsid w:val="003C1A5B"/>
    <w:rsid w:val="003C2BD4"/>
    <w:rsid w:val="003C53BD"/>
    <w:rsid w:val="003C749A"/>
    <w:rsid w:val="003C7958"/>
    <w:rsid w:val="003D0AC6"/>
    <w:rsid w:val="003D5039"/>
    <w:rsid w:val="003D77DC"/>
    <w:rsid w:val="003D78DD"/>
    <w:rsid w:val="003E10F7"/>
    <w:rsid w:val="003E3630"/>
    <w:rsid w:val="003E411F"/>
    <w:rsid w:val="003E520A"/>
    <w:rsid w:val="003E6ECB"/>
    <w:rsid w:val="003F0B5B"/>
    <w:rsid w:val="003F15F5"/>
    <w:rsid w:val="003F58F6"/>
    <w:rsid w:val="003F7778"/>
    <w:rsid w:val="0040055C"/>
    <w:rsid w:val="00402295"/>
    <w:rsid w:val="00402401"/>
    <w:rsid w:val="00403776"/>
    <w:rsid w:val="00406687"/>
    <w:rsid w:val="00407020"/>
    <w:rsid w:val="00412A24"/>
    <w:rsid w:val="00413229"/>
    <w:rsid w:val="004216DB"/>
    <w:rsid w:val="00421AF8"/>
    <w:rsid w:val="00427917"/>
    <w:rsid w:val="00431EEE"/>
    <w:rsid w:val="00432626"/>
    <w:rsid w:val="00433CCB"/>
    <w:rsid w:val="00434951"/>
    <w:rsid w:val="004361E8"/>
    <w:rsid w:val="00436B44"/>
    <w:rsid w:val="0044156F"/>
    <w:rsid w:val="00446837"/>
    <w:rsid w:val="00455EAC"/>
    <w:rsid w:val="0046088D"/>
    <w:rsid w:val="004609FC"/>
    <w:rsid w:val="00461847"/>
    <w:rsid w:val="0046439A"/>
    <w:rsid w:val="0046457B"/>
    <w:rsid w:val="00467609"/>
    <w:rsid w:val="00467C01"/>
    <w:rsid w:val="004700B2"/>
    <w:rsid w:val="00473AB3"/>
    <w:rsid w:val="0047465B"/>
    <w:rsid w:val="004751D2"/>
    <w:rsid w:val="00476FF3"/>
    <w:rsid w:val="00477247"/>
    <w:rsid w:val="0048006F"/>
    <w:rsid w:val="0048015D"/>
    <w:rsid w:val="0048071E"/>
    <w:rsid w:val="00481411"/>
    <w:rsid w:val="00492D3B"/>
    <w:rsid w:val="004956E0"/>
    <w:rsid w:val="004A1897"/>
    <w:rsid w:val="004A2C92"/>
    <w:rsid w:val="004A311E"/>
    <w:rsid w:val="004A3ACA"/>
    <w:rsid w:val="004A4036"/>
    <w:rsid w:val="004A4420"/>
    <w:rsid w:val="004A45C3"/>
    <w:rsid w:val="004B4509"/>
    <w:rsid w:val="004B4D2A"/>
    <w:rsid w:val="004B651C"/>
    <w:rsid w:val="004C2E21"/>
    <w:rsid w:val="004C32C4"/>
    <w:rsid w:val="004C63EE"/>
    <w:rsid w:val="004C74FA"/>
    <w:rsid w:val="004C7BFA"/>
    <w:rsid w:val="004D39B1"/>
    <w:rsid w:val="004D3C2F"/>
    <w:rsid w:val="004D3D83"/>
    <w:rsid w:val="004D79CC"/>
    <w:rsid w:val="004E0F77"/>
    <w:rsid w:val="004E4CB6"/>
    <w:rsid w:val="004E6F19"/>
    <w:rsid w:val="004F2953"/>
    <w:rsid w:val="004F7533"/>
    <w:rsid w:val="0051029C"/>
    <w:rsid w:val="00510763"/>
    <w:rsid w:val="0051579D"/>
    <w:rsid w:val="00516AEA"/>
    <w:rsid w:val="00517D45"/>
    <w:rsid w:val="00520C32"/>
    <w:rsid w:val="00525D37"/>
    <w:rsid w:val="00525F32"/>
    <w:rsid w:val="005303AE"/>
    <w:rsid w:val="0053179B"/>
    <w:rsid w:val="00537F47"/>
    <w:rsid w:val="00540B4F"/>
    <w:rsid w:val="00543382"/>
    <w:rsid w:val="00547345"/>
    <w:rsid w:val="005475D3"/>
    <w:rsid w:val="005566F4"/>
    <w:rsid w:val="00556AB4"/>
    <w:rsid w:val="00562918"/>
    <w:rsid w:val="00570B6C"/>
    <w:rsid w:val="00573CDF"/>
    <w:rsid w:val="00576785"/>
    <w:rsid w:val="005822A7"/>
    <w:rsid w:val="00582A4D"/>
    <w:rsid w:val="00587E90"/>
    <w:rsid w:val="00592FCB"/>
    <w:rsid w:val="00593505"/>
    <w:rsid w:val="00594691"/>
    <w:rsid w:val="0059796E"/>
    <w:rsid w:val="005A673B"/>
    <w:rsid w:val="005B649C"/>
    <w:rsid w:val="005B6FC2"/>
    <w:rsid w:val="005C199B"/>
    <w:rsid w:val="005C2A83"/>
    <w:rsid w:val="005C34EB"/>
    <w:rsid w:val="005C7B0C"/>
    <w:rsid w:val="005D030D"/>
    <w:rsid w:val="005D5B8C"/>
    <w:rsid w:val="005D5F8D"/>
    <w:rsid w:val="005D680C"/>
    <w:rsid w:val="005E5BB8"/>
    <w:rsid w:val="005E645B"/>
    <w:rsid w:val="005E6736"/>
    <w:rsid w:val="005E75BF"/>
    <w:rsid w:val="005F0BF8"/>
    <w:rsid w:val="005F1B6E"/>
    <w:rsid w:val="005F56A6"/>
    <w:rsid w:val="00602E91"/>
    <w:rsid w:val="0060376F"/>
    <w:rsid w:val="006044A1"/>
    <w:rsid w:val="00610BBA"/>
    <w:rsid w:val="00610FB4"/>
    <w:rsid w:val="00615121"/>
    <w:rsid w:val="006155FD"/>
    <w:rsid w:val="00616BD6"/>
    <w:rsid w:val="00620346"/>
    <w:rsid w:val="006219E9"/>
    <w:rsid w:val="00634014"/>
    <w:rsid w:val="00634C50"/>
    <w:rsid w:val="00634ED9"/>
    <w:rsid w:val="00640F10"/>
    <w:rsid w:val="006467AE"/>
    <w:rsid w:val="00647E24"/>
    <w:rsid w:val="00652E53"/>
    <w:rsid w:val="00655E0C"/>
    <w:rsid w:val="00660B67"/>
    <w:rsid w:val="006615D4"/>
    <w:rsid w:val="00662424"/>
    <w:rsid w:val="006628E6"/>
    <w:rsid w:val="006702B1"/>
    <w:rsid w:val="00670A16"/>
    <w:rsid w:val="00673FF2"/>
    <w:rsid w:val="00675DD5"/>
    <w:rsid w:val="00676DA6"/>
    <w:rsid w:val="00680F04"/>
    <w:rsid w:val="00682170"/>
    <w:rsid w:val="00684E11"/>
    <w:rsid w:val="0068513D"/>
    <w:rsid w:val="00685490"/>
    <w:rsid w:val="00690BB8"/>
    <w:rsid w:val="00691184"/>
    <w:rsid w:val="00691335"/>
    <w:rsid w:val="00691ED3"/>
    <w:rsid w:val="00692534"/>
    <w:rsid w:val="0069393E"/>
    <w:rsid w:val="006946FD"/>
    <w:rsid w:val="00695F6B"/>
    <w:rsid w:val="006A33F6"/>
    <w:rsid w:val="006A464B"/>
    <w:rsid w:val="006A5A65"/>
    <w:rsid w:val="006A6C63"/>
    <w:rsid w:val="006B086E"/>
    <w:rsid w:val="006B0D82"/>
    <w:rsid w:val="006B4157"/>
    <w:rsid w:val="006B486B"/>
    <w:rsid w:val="006C2890"/>
    <w:rsid w:val="006C47BF"/>
    <w:rsid w:val="006C4C5F"/>
    <w:rsid w:val="006C60A2"/>
    <w:rsid w:val="006C7CE2"/>
    <w:rsid w:val="006D07F1"/>
    <w:rsid w:val="006D1532"/>
    <w:rsid w:val="006D1731"/>
    <w:rsid w:val="006D40EF"/>
    <w:rsid w:val="006D7CA8"/>
    <w:rsid w:val="006F1590"/>
    <w:rsid w:val="007011F3"/>
    <w:rsid w:val="00701FB3"/>
    <w:rsid w:val="00702334"/>
    <w:rsid w:val="007034AD"/>
    <w:rsid w:val="00703A53"/>
    <w:rsid w:val="00713A0C"/>
    <w:rsid w:val="00713FB3"/>
    <w:rsid w:val="00714C2F"/>
    <w:rsid w:val="00717679"/>
    <w:rsid w:val="00722B4F"/>
    <w:rsid w:val="007259B4"/>
    <w:rsid w:val="00725F30"/>
    <w:rsid w:val="00727ECE"/>
    <w:rsid w:val="007304E6"/>
    <w:rsid w:val="00732D39"/>
    <w:rsid w:val="00733A99"/>
    <w:rsid w:val="00737F28"/>
    <w:rsid w:val="007460B5"/>
    <w:rsid w:val="007462B3"/>
    <w:rsid w:val="00753713"/>
    <w:rsid w:val="0075782B"/>
    <w:rsid w:val="00763814"/>
    <w:rsid w:val="00767214"/>
    <w:rsid w:val="00771468"/>
    <w:rsid w:val="00773474"/>
    <w:rsid w:val="00780C4B"/>
    <w:rsid w:val="00793203"/>
    <w:rsid w:val="00796237"/>
    <w:rsid w:val="00796A2A"/>
    <w:rsid w:val="007A08C4"/>
    <w:rsid w:val="007A1E50"/>
    <w:rsid w:val="007A2A69"/>
    <w:rsid w:val="007A3EA2"/>
    <w:rsid w:val="007A464F"/>
    <w:rsid w:val="007A4E99"/>
    <w:rsid w:val="007A5C91"/>
    <w:rsid w:val="007B6756"/>
    <w:rsid w:val="007C071B"/>
    <w:rsid w:val="007C0D0B"/>
    <w:rsid w:val="007C2C21"/>
    <w:rsid w:val="007C33E4"/>
    <w:rsid w:val="007C79BA"/>
    <w:rsid w:val="007E49CA"/>
    <w:rsid w:val="007E6309"/>
    <w:rsid w:val="007E72EC"/>
    <w:rsid w:val="007E771D"/>
    <w:rsid w:val="007E7E52"/>
    <w:rsid w:val="007F7F42"/>
    <w:rsid w:val="00800211"/>
    <w:rsid w:val="00801332"/>
    <w:rsid w:val="008035CF"/>
    <w:rsid w:val="00805323"/>
    <w:rsid w:val="00806F00"/>
    <w:rsid w:val="00810FFB"/>
    <w:rsid w:val="0081142B"/>
    <w:rsid w:val="00813513"/>
    <w:rsid w:val="00815739"/>
    <w:rsid w:val="00815C12"/>
    <w:rsid w:val="00815E7A"/>
    <w:rsid w:val="00821A18"/>
    <w:rsid w:val="00822B6F"/>
    <w:rsid w:val="0082442C"/>
    <w:rsid w:val="00826BC2"/>
    <w:rsid w:val="00832A12"/>
    <w:rsid w:val="0083422E"/>
    <w:rsid w:val="00845065"/>
    <w:rsid w:val="008556E9"/>
    <w:rsid w:val="00856455"/>
    <w:rsid w:val="00864992"/>
    <w:rsid w:val="00865033"/>
    <w:rsid w:val="008703C6"/>
    <w:rsid w:val="00871A17"/>
    <w:rsid w:val="00872250"/>
    <w:rsid w:val="00872C5F"/>
    <w:rsid w:val="00872EE5"/>
    <w:rsid w:val="00875B2A"/>
    <w:rsid w:val="0088129E"/>
    <w:rsid w:val="00885685"/>
    <w:rsid w:val="00890690"/>
    <w:rsid w:val="008913D3"/>
    <w:rsid w:val="008936DA"/>
    <w:rsid w:val="00893D34"/>
    <w:rsid w:val="0089772B"/>
    <w:rsid w:val="008A7985"/>
    <w:rsid w:val="008B0C0D"/>
    <w:rsid w:val="008C0251"/>
    <w:rsid w:val="008C08DE"/>
    <w:rsid w:val="008C4F68"/>
    <w:rsid w:val="008C624D"/>
    <w:rsid w:val="008C71BC"/>
    <w:rsid w:val="008D4215"/>
    <w:rsid w:val="008D4B7E"/>
    <w:rsid w:val="008D4B86"/>
    <w:rsid w:val="008D5B08"/>
    <w:rsid w:val="008D7817"/>
    <w:rsid w:val="008E0B68"/>
    <w:rsid w:val="008E73BF"/>
    <w:rsid w:val="008F320A"/>
    <w:rsid w:val="008F76F6"/>
    <w:rsid w:val="0090723C"/>
    <w:rsid w:val="009103DA"/>
    <w:rsid w:val="00910F4B"/>
    <w:rsid w:val="00915B30"/>
    <w:rsid w:val="00917970"/>
    <w:rsid w:val="00920268"/>
    <w:rsid w:val="00921446"/>
    <w:rsid w:val="009261F3"/>
    <w:rsid w:val="00927957"/>
    <w:rsid w:val="009301D9"/>
    <w:rsid w:val="00930439"/>
    <w:rsid w:val="009318D8"/>
    <w:rsid w:val="0093463A"/>
    <w:rsid w:val="0093466F"/>
    <w:rsid w:val="00935F37"/>
    <w:rsid w:val="00936AA8"/>
    <w:rsid w:val="00937543"/>
    <w:rsid w:val="00937ACB"/>
    <w:rsid w:val="00943F28"/>
    <w:rsid w:val="00944798"/>
    <w:rsid w:val="009505A8"/>
    <w:rsid w:val="0095126A"/>
    <w:rsid w:val="0095169D"/>
    <w:rsid w:val="009569D6"/>
    <w:rsid w:val="00956EC5"/>
    <w:rsid w:val="00957C22"/>
    <w:rsid w:val="0096003B"/>
    <w:rsid w:val="009616AE"/>
    <w:rsid w:val="0096679F"/>
    <w:rsid w:val="00966D1C"/>
    <w:rsid w:val="00970079"/>
    <w:rsid w:val="0097011D"/>
    <w:rsid w:val="00971DDC"/>
    <w:rsid w:val="00980BA5"/>
    <w:rsid w:val="00981194"/>
    <w:rsid w:val="00985C6A"/>
    <w:rsid w:val="0099250C"/>
    <w:rsid w:val="00992DCD"/>
    <w:rsid w:val="009A3DA6"/>
    <w:rsid w:val="009A53A4"/>
    <w:rsid w:val="009B0693"/>
    <w:rsid w:val="009B0D4F"/>
    <w:rsid w:val="009B52DD"/>
    <w:rsid w:val="009C03A1"/>
    <w:rsid w:val="009C225A"/>
    <w:rsid w:val="009C2300"/>
    <w:rsid w:val="009C3795"/>
    <w:rsid w:val="009D3105"/>
    <w:rsid w:val="009D446C"/>
    <w:rsid w:val="009D6233"/>
    <w:rsid w:val="009E1876"/>
    <w:rsid w:val="009E748B"/>
    <w:rsid w:val="009F0CFD"/>
    <w:rsid w:val="009F127C"/>
    <w:rsid w:val="009F7235"/>
    <w:rsid w:val="009F7BB7"/>
    <w:rsid w:val="00A00E16"/>
    <w:rsid w:val="00A03152"/>
    <w:rsid w:val="00A0525A"/>
    <w:rsid w:val="00A061D1"/>
    <w:rsid w:val="00A1157E"/>
    <w:rsid w:val="00A11699"/>
    <w:rsid w:val="00A13E53"/>
    <w:rsid w:val="00A14885"/>
    <w:rsid w:val="00A17A6F"/>
    <w:rsid w:val="00A21DB5"/>
    <w:rsid w:val="00A22250"/>
    <w:rsid w:val="00A228FF"/>
    <w:rsid w:val="00A24846"/>
    <w:rsid w:val="00A2612D"/>
    <w:rsid w:val="00A34D71"/>
    <w:rsid w:val="00A37EE1"/>
    <w:rsid w:val="00A40989"/>
    <w:rsid w:val="00A417EA"/>
    <w:rsid w:val="00A4227F"/>
    <w:rsid w:val="00A46C30"/>
    <w:rsid w:val="00A512A3"/>
    <w:rsid w:val="00A530FB"/>
    <w:rsid w:val="00A5395A"/>
    <w:rsid w:val="00A53ED7"/>
    <w:rsid w:val="00A54278"/>
    <w:rsid w:val="00A56401"/>
    <w:rsid w:val="00A57F8B"/>
    <w:rsid w:val="00A62325"/>
    <w:rsid w:val="00A6253A"/>
    <w:rsid w:val="00A63321"/>
    <w:rsid w:val="00A65348"/>
    <w:rsid w:val="00A71F41"/>
    <w:rsid w:val="00A72086"/>
    <w:rsid w:val="00A736A2"/>
    <w:rsid w:val="00A7378F"/>
    <w:rsid w:val="00A73B20"/>
    <w:rsid w:val="00A773CD"/>
    <w:rsid w:val="00A80E0C"/>
    <w:rsid w:val="00A8316F"/>
    <w:rsid w:val="00A83BF8"/>
    <w:rsid w:val="00A83E18"/>
    <w:rsid w:val="00A87720"/>
    <w:rsid w:val="00A87849"/>
    <w:rsid w:val="00A90F08"/>
    <w:rsid w:val="00A91150"/>
    <w:rsid w:val="00A932C2"/>
    <w:rsid w:val="00A94ED1"/>
    <w:rsid w:val="00A95088"/>
    <w:rsid w:val="00A97070"/>
    <w:rsid w:val="00AA0D80"/>
    <w:rsid w:val="00AA1048"/>
    <w:rsid w:val="00AA16F2"/>
    <w:rsid w:val="00AA6500"/>
    <w:rsid w:val="00AA7A9D"/>
    <w:rsid w:val="00AB012F"/>
    <w:rsid w:val="00AB1699"/>
    <w:rsid w:val="00AB4548"/>
    <w:rsid w:val="00AB54F9"/>
    <w:rsid w:val="00AB71C6"/>
    <w:rsid w:val="00AC4276"/>
    <w:rsid w:val="00AC5A16"/>
    <w:rsid w:val="00AC5A30"/>
    <w:rsid w:val="00AD3312"/>
    <w:rsid w:val="00AD3D92"/>
    <w:rsid w:val="00AD47D1"/>
    <w:rsid w:val="00AE064F"/>
    <w:rsid w:val="00AE0650"/>
    <w:rsid w:val="00AE3614"/>
    <w:rsid w:val="00AE6D35"/>
    <w:rsid w:val="00AE7865"/>
    <w:rsid w:val="00AF0019"/>
    <w:rsid w:val="00AF260B"/>
    <w:rsid w:val="00AF2AEC"/>
    <w:rsid w:val="00AF5A10"/>
    <w:rsid w:val="00B00F12"/>
    <w:rsid w:val="00B05D43"/>
    <w:rsid w:val="00B10930"/>
    <w:rsid w:val="00B10C0E"/>
    <w:rsid w:val="00B10F58"/>
    <w:rsid w:val="00B12666"/>
    <w:rsid w:val="00B12BD7"/>
    <w:rsid w:val="00B14E15"/>
    <w:rsid w:val="00B16C42"/>
    <w:rsid w:val="00B17DB3"/>
    <w:rsid w:val="00B20EA8"/>
    <w:rsid w:val="00B2328C"/>
    <w:rsid w:val="00B24CAA"/>
    <w:rsid w:val="00B25A43"/>
    <w:rsid w:val="00B26031"/>
    <w:rsid w:val="00B3061A"/>
    <w:rsid w:val="00B36027"/>
    <w:rsid w:val="00B4017A"/>
    <w:rsid w:val="00B4209B"/>
    <w:rsid w:val="00B5335E"/>
    <w:rsid w:val="00B6049D"/>
    <w:rsid w:val="00B605D2"/>
    <w:rsid w:val="00B63AB8"/>
    <w:rsid w:val="00B64907"/>
    <w:rsid w:val="00B719BF"/>
    <w:rsid w:val="00B80B2D"/>
    <w:rsid w:val="00B80BAC"/>
    <w:rsid w:val="00B85716"/>
    <w:rsid w:val="00B86980"/>
    <w:rsid w:val="00B97377"/>
    <w:rsid w:val="00BA117B"/>
    <w:rsid w:val="00BA2B7E"/>
    <w:rsid w:val="00BB02E5"/>
    <w:rsid w:val="00BB06DF"/>
    <w:rsid w:val="00BB1599"/>
    <w:rsid w:val="00BD13A9"/>
    <w:rsid w:val="00BD3618"/>
    <w:rsid w:val="00BD3F32"/>
    <w:rsid w:val="00BD5069"/>
    <w:rsid w:val="00BD6351"/>
    <w:rsid w:val="00BD7389"/>
    <w:rsid w:val="00BE1116"/>
    <w:rsid w:val="00BE4131"/>
    <w:rsid w:val="00BE7A73"/>
    <w:rsid w:val="00C1180D"/>
    <w:rsid w:val="00C126D3"/>
    <w:rsid w:val="00C17710"/>
    <w:rsid w:val="00C20480"/>
    <w:rsid w:val="00C22821"/>
    <w:rsid w:val="00C23AB9"/>
    <w:rsid w:val="00C240B1"/>
    <w:rsid w:val="00C24AC2"/>
    <w:rsid w:val="00C31C9C"/>
    <w:rsid w:val="00C342E0"/>
    <w:rsid w:val="00C50168"/>
    <w:rsid w:val="00C51152"/>
    <w:rsid w:val="00C55016"/>
    <w:rsid w:val="00C56200"/>
    <w:rsid w:val="00C57303"/>
    <w:rsid w:val="00C607B7"/>
    <w:rsid w:val="00C64789"/>
    <w:rsid w:val="00C6506C"/>
    <w:rsid w:val="00C73F58"/>
    <w:rsid w:val="00C839B2"/>
    <w:rsid w:val="00C84D6D"/>
    <w:rsid w:val="00C855FE"/>
    <w:rsid w:val="00C9097D"/>
    <w:rsid w:val="00C92DF1"/>
    <w:rsid w:val="00C960D7"/>
    <w:rsid w:val="00CA070E"/>
    <w:rsid w:val="00CA232C"/>
    <w:rsid w:val="00CA3DCD"/>
    <w:rsid w:val="00CA57B0"/>
    <w:rsid w:val="00CA6CDB"/>
    <w:rsid w:val="00CB075B"/>
    <w:rsid w:val="00CB518E"/>
    <w:rsid w:val="00CD195B"/>
    <w:rsid w:val="00CD29BD"/>
    <w:rsid w:val="00CD3BC6"/>
    <w:rsid w:val="00CE17F9"/>
    <w:rsid w:val="00CE22F5"/>
    <w:rsid w:val="00CE32D8"/>
    <w:rsid w:val="00CE3B15"/>
    <w:rsid w:val="00CF1260"/>
    <w:rsid w:val="00CF6321"/>
    <w:rsid w:val="00CF7D4E"/>
    <w:rsid w:val="00D01F5E"/>
    <w:rsid w:val="00D04EE1"/>
    <w:rsid w:val="00D06599"/>
    <w:rsid w:val="00D112D6"/>
    <w:rsid w:val="00D148A6"/>
    <w:rsid w:val="00D15DF6"/>
    <w:rsid w:val="00D16353"/>
    <w:rsid w:val="00D16600"/>
    <w:rsid w:val="00D17830"/>
    <w:rsid w:val="00D24566"/>
    <w:rsid w:val="00D31B47"/>
    <w:rsid w:val="00D32681"/>
    <w:rsid w:val="00D32E8D"/>
    <w:rsid w:val="00D33A9B"/>
    <w:rsid w:val="00D34A37"/>
    <w:rsid w:val="00D35C77"/>
    <w:rsid w:val="00D40401"/>
    <w:rsid w:val="00D4452A"/>
    <w:rsid w:val="00D460D9"/>
    <w:rsid w:val="00D46F6D"/>
    <w:rsid w:val="00D53B36"/>
    <w:rsid w:val="00D6182B"/>
    <w:rsid w:val="00D628A5"/>
    <w:rsid w:val="00D676BB"/>
    <w:rsid w:val="00D702B9"/>
    <w:rsid w:val="00D70567"/>
    <w:rsid w:val="00D7212F"/>
    <w:rsid w:val="00D726A0"/>
    <w:rsid w:val="00D85273"/>
    <w:rsid w:val="00D8651C"/>
    <w:rsid w:val="00D93663"/>
    <w:rsid w:val="00D9447B"/>
    <w:rsid w:val="00D97465"/>
    <w:rsid w:val="00DA0A67"/>
    <w:rsid w:val="00DA1193"/>
    <w:rsid w:val="00DA12AB"/>
    <w:rsid w:val="00DA1DE7"/>
    <w:rsid w:val="00DA29B2"/>
    <w:rsid w:val="00DA673C"/>
    <w:rsid w:val="00DA69FB"/>
    <w:rsid w:val="00DA70A3"/>
    <w:rsid w:val="00DA7453"/>
    <w:rsid w:val="00DB0F05"/>
    <w:rsid w:val="00DB4FCB"/>
    <w:rsid w:val="00DB5130"/>
    <w:rsid w:val="00DC10D6"/>
    <w:rsid w:val="00DC2631"/>
    <w:rsid w:val="00DC2E00"/>
    <w:rsid w:val="00DC37AC"/>
    <w:rsid w:val="00DC617D"/>
    <w:rsid w:val="00DD1CB8"/>
    <w:rsid w:val="00DD1EAA"/>
    <w:rsid w:val="00DD69C6"/>
    <w:rsid w:val="00DD7DAC"/>
    <w:rsid w:val="00DE0870"/>
    <w:rsid w:val="00DE138A"/>
    <w:rsid w:val="00DE4CCF"/>
    <w:rsid w:val="00DE7651"/>
    <w:rsid w:val="00DF04C5"/>
    <w:rsid w:val="00DF0CF2"/>
    <w:rsid w:val="00DF40DD"/>
    <w:rsid w:val="00E00132"/>
    <w:rsid w:val="00E04D38"/>
    <w:rsid w:val="00E052C7"/>
    <w:rsid w:val="00E06774"/>
    <w:rsid w:val="00E118F9"/>
    <w:rsid w:val="00E15384"/>
    <w:rsid w:val="00E153F6"/>
    <w:rsid w:val="00E17BCD"/>
    <w:rsid w:val="00E20829"/>
    <w:rsid w:val="00E22B90"/>
    <w:rsid w:val="00E25C8F"/>
    <w:rsid w:val="00E26FED"/>
    <w:rsid w:val="00E3700F"/>
    <w:rsid w:val="00E4119B"/>
    <w:rsid w:val="00E43842"/>
    <w:rsid w:val="00E44225"/>
    <w:rsid w:val="00E44CF7"/>
    <w:rsid w:val="00E5429A"/>
    <w:rsid w:val="00E6126F"/>
    <w:rsid w:val="00E6189F"/>
    <w:rsid w:val="00E6721D"/>
    <w:rsid w:val="00E72309"/>
    <w:rsid w:val="00E742E4"/>
    <w:rsid w:val="00E75EBE"/>
    <w:rsid w:val="00E77401"/>
    <w:rsid w:val="00E83328"/>
    <w:rsid w:val="00E858EB"/>
    <w:rsid w:val="00E91AA8"/>
    <w:rsid w:val="00E91ED3"/>
    <w:rsid w:val="00E93D41"/>
    <w:rsid w:val="00E943EE"/>
    <w:rsid w:val="00E94DEA"/>
    <w:rsid w:val="00E966D9"/>
    <w:rsid w:val="00EA28AB"/>
    <w:rsid w:val="00EA3902"/>
    <w:rsid w:val="00EA4355"/>
    <w:rsid w:val="00EA680F"/>
    <w:rsid w:val="00EA7A18"/>
    <w:rsid w:val="00EB229E"/>
    <w:rsid w:val="00EB3FF5"/>
    <w:rsid w:val="00EB6663"/>
    <w:rsid w:val="00EB7983"/>
    <w:rsid w:val="00EB7E6E"/>
    <w:rsid w:val="00EC026F"/>
    <w:rsid w:val="00EC0499"/>
    <w:rsid w:val="00EC1DB0"/>
    <w:rsid w:val="00EC3A16"/>
    <w:rsid w:val="00EC577A"/>
    <w:rsid w:val="00EC5C22"/>
    <w:rsid w:val="00ED371D"/>
    <w:rsid w:val="00ED4903"/>
    <w:rsid w:val="00ED57DB"/>
    <w:rsid w:val="00ED6078"/>
    <w:rsid w:val="00EE290D"/>
    <w:rsid w:val="00EE3D1E"/>
    <w:rsid w:val="00EE47AA"/>
    <w:rsid w:val="00EE5D00"/>
    <w:rsid w:val="00EF1002"/>
    <w:rsid w:val="00EF1C11"/>
    <w:rsid w:val="00EF2B3A"/>
    <w:rsid w:val="00EF7155"/>
    <w:rsid w:val="00F01A21"/>
    <w:rsid w:val="00F02EF8"/>
    <w:rsid w:val="00F12FA0"/>
    <w:rsid w:val="00F16451"/>
    <w:rsid w:val="00F16853"/>
    <w:rsid w:val="00F204EA"/>
    <w:rsid w:val="00F25CE3"/>
    <w:rsid w:val="00F275E5"/>
    <w:rsid w:val="00F27B3A"/>
    <w:rsid w:val="00F30688"/>
    <w:rsid w:val="00F30D44"/>
    <w:rsid w:val="00F37A60"/>
    <w:rsid w:val="00F43D1F"/>
    <w:rsid w:val="00F47258"/>
    <w:rsid w:val="00F479AF"/>
    <w:rsid w:val="00F55C83"/>
    <w:rsid w:val="00F566CE"/>
    <w:rsid w:val="00F569C6"/>
    <w:rsid w:val="00F63644"/>
    <w:rsid w:val="00F63F25"/>
    <w:rsid w:val="00F65031"/>
    <w:rsid w:val="00F657C3"/>
    <w:rsid w:val="00F66B90"/>
    <w:rsid w:val="00F7008E"/>
    <w:rsid w:val="00F71033"/>
    <w:rsid w:val="00F814F2"/>
    <w:rsid w:val="00F820C8"/>
    <w:rsid w:val="00F901B0"/>
    <w:rsid w:val="00F907AA"/>
    <w:rsid w:val="00F94D66"/>
    <w:rsid w:val="00F966DA"/>
    <w:rsid w:val="00F96D4E"/>
    <w:rsid w:val="00FA0331"/>
    <w:rsid w:val="00FA17D3"/>
    <w:rsid w:val="00FA25E7"/>
    <w:rsid w:val="00FA2C64"/>
    <w:rsid w:val="00FA2DBC"/>
    <w:rsid w:val="00FA4439"/>
    <w:rsid w:val="00FA5E68"/>
    <w:rsid w:val="00FB469C"/>
    <w:rsid w:val="00FC0A5E"/>
    <w:rsid w:val="00FC35F0"/>
    <w:rsid w:val="00FC531E"/>
    <w:rsid w:val="00FC7AB4"/>
    <w:rsid w:val="00FD7948"/>
    <w:rsid w:val="00FE1515"/>
    <w:rsid w:val="00FE18C0"/>
    <w:rsid w:val="00FE557D"/>
    <w:rsid w:val="00FE7E9C"/>
    <w:rsid w:val="00FF0AAD"/>
    <w:rsid w:val="00FF5F2B"/>
    <w:rsid w:val="0108091E"/>
    <w:rsid w:val="01E6517A"/>
    <w:rsid w:val="022C1677"/>
    <w:rsid w:val="02683F31"/>
    <w:rsid w:val="02BD3998"/>
    <w:rsid w:val="02EC5B5D"/>
    <w:rsid w:val="02F76428"/>
    <w:rsid w:val="035B0A68"/>
    <w:rsid w:val="0384788C"/>
    <w:rsid w:val="03B43C8E"/>
    <w:rsid w:val="041B0245"/>
    <w:rsid w:val="04494E33"/>
    <w:rsid w:val="04ED5EFB"/>
    <w:rsid w:val="05B01129"/>
    <w:rsid w:val="05B2517E"/>
    <w:rsid w:val="05E6132C"/>
    <w:rsid w:val="05EB39F3"/>
    <w:rsid w:val="06265024"/>
    <w:rsid w:val="06444FE9"/>
    <w:rsid w:val="06F875BC"/>
    <w:rsid w:val="077723F3"/>
    <w:rsid w:val="07C55D5F"/>
    <w:rsid w:val="07D7685D"/>
    <w:rsid w:val="07DB314C"/>
    <w:rsid w:val="08576960"/>
    <w:rsid w:val="08681D29"/>
    <w:rsid w:val="087E0690"/>
    <w:rsid w:val="09754CCA"/>
    <w:rsid w:val="09811E46"/>
    <w:rsid w:val="09A46EA7"/>
    <w:rsid w:val="09F9533A"/>
    <w:rsid w:val="0A9D3EE6"/>
    <w:rsid w:val="0B422C35"/>
    <w:rsid w:val="0B717E82"/>
    <w:rsid w:val="0B7F57EF"/>
    <w:rsid w:val="0B961040"/>
    <w:rsid w:val="0C0029D8"/>
    <w:rsid w:val="0C0B39FE"/>
    <w:rsid w:val="0C1E5E63"/>
    <w:rsid w:val="0C701E62"/>
    <w:rsid w:val="0C86754F"/>
    <w:rsid w:val="0C9A04F5"/>
    <w:rsid w:val="0CB30772"/>
    <w:rsid w:val="0CB8585F"/>
    <w:rsid w:val="0D295832"/>
    <w:rsid w:val="0D657CC0"/>
    <w:rsid w:val="0E77746F"/>
    <w:rsid w:val="0E7F5540"/>
    <w:rsid w:val="0EC35A62"/>
    <w:rsid w:val="10E76DB0"/>
    <w:rsid w:val="11053965"/>
    <w:rsid w:val="114C755C"/>
    <w:rsid w:val="11561791"/>
    <w:rsid w:val="119B21C8"/>
    <w:rsid w:val="11D84CE7"/>
    <w:rsid w:val="13502AD3"/>
    <w:rsid w:val="13827E14"/>
    <w:rsid w:val="1389712F"/>
    <w:rsid w:val="13F26691"/>
    <w:rsid w:val="14835CFA"/>
    <w:rsid w:val="15896B2E"/>
    <w:rsid w:val="15E60C44"/>
    <w:rsid w:val="18296DEB"/>
    <w:rsid w:val="18AA34E4"/>
    <w:rsid w:val="1933383C"/>
    <w:rsid w:val="194B422B"/>
    <w:rsid w:val="19F7568B"/>
    <w:rsid w:val="1A3909F7"/>
    <w:rsid w:val="1A7F0D36"/>
    <w:rsid w:val="1AA322A7"/>
    <w:rsid w:val="1B266C05"/>
    <w:rsid w:val="1B7C5471"/>
    <w:rsid w:val="1BF80209"/>
    <w:rsid w:val="1CAA1DDB"/>
    <w:rsid w:val="1CD669B9"/>
    <w:rsid w:val="1CDB0CAC"/>
    <w:rsid w:val="1CED0D9D"/>
    <w:rsid w:val="1CFC7830"/>
    <w:rsid w:val="1D1459CF"/>
    <w:rsid w:val="1DEC355F"/>
    <w:rsid w:val="1E531265"/>
    <w:rsid w:val="1E6B0BC1"/>
    <w:rsid w:val="1E76621C"/>
    <w:rsid w:val="1EE91390"/>
    <w:rsid w:val="1EEF5EF8"/>
    <w:rsid w:val="1EF3504D"/>
    <w:rsid w:val="1F1A24EF"/>
    <w:rsid w:val="1F2F70AD"/>
    <w:rsid w:val="1FA12BE7"/>
    <w:rsid w:val="20A80DEA"/>
    <w:rsid w:val="20BC0A88"/>
    <w:rsid w:val="20F65190"/>
    <w:rsid w:val="212149B9"/>
    <w:rsid w:val="21272536"/>
    <w:rsid w:val="215329A7"/>
    <w:rsid w:val="21D54A29"/>
    <w:rsid w:val="223D2660"/>
    <w:rsid w:val="22414948"/>
    <w:rsid w:val="22E14E60"/>
    <w:rsid w:val="23221DE1"/>
    <w:rsid w:val="233C3F04"/>
    <w:rsid w:val="234110EE"/>
    <w:rsid w:val="236A31AE"/>
    <w:rsid w:val="23A342CA"/>
    <w:rsid w:val="23A45AB1"/>
    <w:rsid w:val="241B5572"/>
    <w:rsid w:val="24400428"/>
    <w:rsid w:val="24722998"/>
    <w:rsid w:val="25354850"/>
    <w:rsid w:val="256D1E94"/>
    <w:rsid w:val="25810E77"/>
    <w:rsid w:val="25865EB8"/>
    <w:rsid w:val="25AE3FA1"/>
    <w:rsid w:val="25F33EF8"/>
    <w:rsid w:val="260B32A4"/>
    <w:rsid w:val="26933187"/>
    <w:rsid w:val="26E90401"/>
    <w:rsid w:val="27592E47"/>
    <w:rsid w:val="277E653D"/>
    <w:rsid w:val="285F7A57"/>
    <w:rsid w:val="28B35CBF"/>
    <w:rsid w:val="28DB4E33"/>
    <w:rsid w:val="292504C8"/>
    <w:rsid w:val="2961141D"/>
    <w:rsid w:val="298B1596"/>
    <w:rsid w:val="2A6246E1"/>
    <w:rsid w:val="2A851A2F"/>
    <w:rsid w:val="2A8B73F2"/>
    <w:rsid w:val="2A9E4A40"/>
    <w:rsid w:val="2B39288B"/>
    <w:rsid w:val="2BCE75FB"/>
    <w:rsid w:val="2C507556"/>
    <w:rsid w:val="2C67603A"/>
    <w:rsid w:val="2D053731"/>
    <w:rsid w:val="2D23035D"/>
    <w:rsid w:val="2DB17A14"/>
    <w:rsid w:val="2DD0735B"/>
    <w:rsid w:val="2E083BF7"/>
    <w:rsid w:val="2E5B4E96"/>
    <w:rsid w:val="2E897C20"/>
    <w:rsid w:val="2ECE0E0E"/>
    <w:rsid w:val="2F175EE3"/>
    <w:rsid w:val="2F302C7F"/>
    <w:rsid w:val="2F4A563D"/>
    <w:rsid w:val="2F646F25"/>
    <w:rsid w:val="2F932FF0"/>
    <w:rsid w:val="2FA56BAD"/>
    <w:rsid w:val="3044312F"/>
    <w:rsid w:val="30565637"/>
    <w:rsid w:val="305D5CE9"/>
    <w:rsid w:val="310E5B18"/>
    <w:rsid w:val="31240C67"/>
    <w:rsid w:val="31441F53"/>
    <w:rsid w:val="31913905"/>
    <w:rsid w:val="31B25B45"/>
    <w:rsid w:val="31B74BB1"/>
    <w:rsid w:val="31EB0962"/>
    <w:rsid w:val="320F1266"/>
    <w:rsid w:val="329A294D"/>
    <w:rsid w:val="32FD4EB1"/>
    <w:rsid w:val="33222CF8"/>
    <w:rsid w:val="33677DC1"/>
    <w:rsid w:val="337F62AD"/>
    <w:rsid w:val="33877339"/>
    <w:rsid w:val="33BB35D0"/>
    <w:rsid w:val="33F623B9"/>
    <w:rsid w:val="35227326"/>
    <w:rsid w:val="35830905"/>
    <w:rsid w:val="36325E56"/>
    <w:rsid w:val="37D43CE3"/>
    <w:rsid w:val="37ED4BAA"/>
    <w:rsid w:val="381D65AC"/>
    <w:rsid w:val="38B16490"/>
    <w:rsid w:val="39223C66"/>
    <w:rsid w:val="3A854DE7"/>
    <w:rsid w:val="3A917598"/>
    <w:rsid w:val="3AE35762"/>
    <w:rsid w:val="3B077EAF"/>
    <w:rsid w:val="3BF71853"/>
    <w:rsid w:val="3C9B6550"/>
    <w:rsid w:val="3D2F2E24"/>
    <w:rsid w:val="3D452C55"/>
    <w:rsid w:val="3D7B2589"/>
    <w:rsid w:val="3D820D4F"/>
    <w:rsid w:val="3DC162FC"/>
    <w:rsid w:val="3DEB340F"/>
    <w:rsid w:val="3E384527"/>
    <w:rsid w:val="3E654B3A"/>
    <w:rsid w:val="3EC8510D"/>
    <w:rsid w:val="3EE703CD"/>
    <w:rsid w:val="400972A3"/>
    <w:rsid w:val="410D0BE6"/>
    <w:rsid w:val="4126464B"/>
    <w:rsid w:val="41420944"/>
    <w:rsid w:val="4183450D"/>
    <w:rsid w:val="41A14E5B"/>
    <w:rsid w:val="41B7793F"/>
    <w:rsid w:val="41C5741A"/>
    <w:rsid w:val="427C4110"/>
    <w:rsid w:val="431860B6"/>
    <w:rsid w:val="43694FC5"/>
    <w:rsid w:val="4403001A"/>
    <w:rsid w:val="441C7A5D"/>
    <w:rsid w:val="44B40008"/>
    <w:rsid w:val="44C70D28"/>
    <w:rsid w:val="45066D11"/>
    <w:rsid w:val="45605042"/>
    <w:rsid w:val="460214B6"/>
    <w:rsid w:val="46391636"/>
    <w:rsid w:val="46A77A92"/>
    <w:rsid w:val="46B54F1C"/>
    <w:rsid w:val="46B72A4C"/>
    <w:rsid w:val="46C12FC8"/>
    <w:rsid w:val="47495976"/>
    <w:rsid w:val="48445DDD"/>
    <w:rsid w:val="48614F0D"/>
    <w:rsid w:val="486569F7"/>
    <w:rsid w:val="48E01328"/>
    <w:rsid w:val="49A137BC"/>
    <w:rsid w:val="49EE4451"/>
    <w:rsid w:val="4A75775E"/>
    <w:rsid w:val="4A7D6949"/>
    <w:rsid w:val="4A89544D"/>
    <w:rsid w:val="4AFE6907"/>
    <w:rsid w:val="4B0E4364"/>
    <w:rsid w:val="4B4672EB"/>
    <w:rsid w:val="4BD94154"/>
    <w:rsid w:val="4BDB34F5"/>
    <w:rsid w:val="4C411EE0"/>
    <w:rsid w:val="4CFA2F97"/>
    <w:rsid w:val="4D206414"/>
    <w:rsid w:val="4D8D1924"/>
    <w:rsid w:val="4E1C5441"/>
    <w:rsid w:val="4E4D64E9"/>
    <w:rsid w:val="4F04477A"/>
    <w:rsid w:val="4FDD6F1F"/>
    <w:rsid w:val="4FDE1020"/>
    <w:rsid w:val="500F7134"/>
    <w:rsid w:val="5035063E"/>
    <w:rsid w:val="506916AC"/>
    <w:rsid w:val="510425AC"/>
    <w:rsid w:val="512D49DF"/>
    <w:rsid w:val="51614EDF"/>
    <w:rsid w:val="517700DE"/>
    <w:rsid w:val="51B40036"/>
    <w:rsid w:val="5211411F"/>
    <w:rsid w:val="523D6E85"/>
    <w:rsid w:val="52566830"/>
    <w:rsid w:val="5363569C"/>
    <w:rsid w:val="53915975"/>
    <w:rsid w:val="539A7696"/>
    <w:rsid w:val="54B47C04"/>
    <w:rsid w:val="553D44D4"/>
    <w:rsid w:val="554172FC"/>
    <w:rsid w:val="5566637C"/>
    <w:rsid w:val="55B242A1"/>
    <w:rsid w:val="55C86C89"/>
    <w:rsid w:val="563C2A07"/>
    <w:rsid w:val="56B25DBD"/>
    <w:rsid w:val="56FF3B83"/>
    <w:rsid w:val="57016A14"/>
    <w:rsid w:val="572124A6"/>
    <w:rsid w:val="575541CF"/>
    <w:rsid w:val="57AD6958"/>
    <w:rsid w:val="57E82A26"/>
    <w:rsid w:val="58417B4A"/>
    <w:rsid w:val="585B0EC7"/>
    <w:rsid w:val="58617111"/>
    <w:rsid w:val="591201EA"/>
    <w:rsid w:val="592A66BD"/>
    <w:rsid w:val="59F12FC7"/>
    <w:rsid w:val="5A365D77"/>
    <w:rsid w:val="5A5D4C83"/>
    <w:rsid w:val="5A907143"/>
    <w:rsid w:val="5B2E3468"/>
    <w:rsid w:val="5B650EAF"/>
    <w:rsid w:val="5B6A0BCC"/>
    <w:rsid w:val="5C5870F7"/>
    <w:rsid w:val="5CB97A67"/>
    <w:rsid w:val="5CD51CFC"/>
    <w:rsid w:val="5D416B9C"/>
    <w:rsid w:val="5D5828C3"/>
    <w:rsid w:val="5D6A4F8A"/>
    <w:rsid w:val="5DC74D7D"/>
    <w:rsid w:val="5F5B35F9"/>
    <w:rsid w:val="5F940B73"/>
    <w:rsid w:val="605E0040"/>
    <w:rsid w:val="606006FD"/>
    <w:rsid w:val="60F04D5C"/>
    <w:rsid w:val="6110004D"/>
    <w:rsid w:val="61164C76"/>
    <w:rsid w:val="613B1FB7"/>
    <w:rsid w:val="6188757E"/>
    <w:rsid w:val="62A84FC1"/>
    <w:rsid w:val="62C17B14"/>
    <w:rsid w:val="63316192"/>
    <w:rsid w:val="63506C72"/>
    <w:rsid w:val="64040342"/>
    <w:rsid w:val="64151B2C"/>
    <w:rsid w:val="64182C53"/>
    <w:rsid w:val="641B107A"/>
    <w:rsid w:val="645547E4"/>
    <w:rsid w:val="64D95B82"/>
    <w:rsid w:val="65F76812"/>
    <w:rsid w:val="66227358"/>
    <w:rsid w:val="66683E11"/>
    <w:rsid w:val="66B26001"/>
    <w:rsid w:val="66C5616F"/>
    <w:rsid w:val="671E2E81"/>
    <w:rsid w:val="67381582"/>
    <w:rsid w:val="67743274"/>
    <w:rsid w:val="67957FAB"/>
    <w:rsid w:val="67A60E13"/>
    <w:rsid w:val="67BB5967"/>
    <w:rsid w:val="68217031"/>
    <w:rsid w:val="683850C9"/>
    <w:rsid w:val="687359A1"/>
    <w:rsid w:val="68916848"/>
    <w:rsid w:val="68A33FCC"/>
    <w:rsid w:val="69072A62"/>
    <w:rsid w:val="69797C2C"/>
    <w:rsid w:val="6A1A0A73"/>
    <w:rsid w:val="6A791F99"/>
    <w:rsid w:val="6A7F667C"/>
    <w:rsid w:val="6B414B2D"/>
    <w:rsid w:val="6B7C65BA"/>
    <w:rsid w:val="6BF933F2"/>
    <w:rsid w:val="6BF972C1"/>
    <w:rsid w:val="6C2117FB"/>
    <w:rsid w:val="6C28684C"/>
    <w:rsid w:val="6C463007"/>
    <w:rsid w:val="6C9004BE"/>
    <w:rsid w:val="6D911680"/>
    <w:rsid w:val="6DD1681A"/>
    <w:rsid w:val="6DE3633C"/>
    <w:rsid w:val="6E24126E"/>
    <w:rsid w:val="6E9F35CF"/>
    <w:rsid w:val="6F0319F7"/>
    <w:rsid w:val="6F046FD9"/>
    <w:rsid w:val="6F2A7617"/>
    <w:rsid w:val="6F5E3677"/>
    <w:rsid w:val="6F7A04F8"/>
    <w:rsid w:val="6F7E1F18"/>
    <w:rsid w:val="6F966E72"/>
    <w:rsid w:val="70297BFC"/>
    <w:rsid w:val="70756AA2"/>
    <w:rsid w:val="708B090A"/>
    <w:rsid w:val="711A6ED5"/>
    <w:rsid w:val="71200D36"/>
    <w:rsid w:val="717D19DE"/>
    <w:rsid w:val="718E3D2D"/>
    <w:rsid w:val="719C1153"/>
    <w:rsid w:val="71A06C84"/>
    <w:rsid w:val="71A12D4A"/>
    <w:rsid w:val="71D403C9"/>
    <w:rsid w:val="71FF7E96"/>
    <w:rsid w:val="726B3514"/>
    <w:rsid w:val="727A6FE3"/>
    <w:rsid w:val="72C61A7F"/>
    <w:rsid w:val="733F5E92"/>
    <w:rsid w:val="738E331D"/>
    <w:rsid w:val="73B84BDF"/>
    <w:rsid w:val="740204EB"/>
    <w:rsid w:val="74C86E9E"/>
    <w:rsid w:val="750B2D7D"/>
    <w:rsid w:val="758D6E11"/>
    <w:rsid w:val="75E91364"/>
    <w:rsid w:val="76DF75B0"/>
    <w:rsid w:val="77B4768B"/>
    <w:rsid w:val="78B00041"/>
    <w:rsid w:val="79113FB4"/>
    <w:rsid w:val="794C0A43"/>
    <w:rsid w:val="7954315B"/>
    <w:rsid w:val="79844E6A"/>
    <w:rsid w:val="79D13DC4"/>
    <w:rsid w:val="7A4A6DB6"/>
    <w:rsid w:val="7A577BEE"/>
    <w:rsid w:val="7A625516"/>
    <w:rsid w:val="7B8D123D"/>
    <w:rsid w:val="7B8D5846"/>
    <w:rsid w:val="7BB80125"/>
    <w:rsid w:val="7C323319"/>
    <w:rsid w:val="7C534340"/>
    <w:rsid w:val="7C692247"/>
    <w:rsid w:val="7CA77E90"/>
    <w:rsid w:val="7D274A0B"/>
    <w:rsid w:val="7D4F3E6A"/>
    <w:rsid w:val="7DD03503"/>
    <w:rsid w:val="7DFB4C4A"/>
    <w:rsid w:val="7E272389"/>
    <w:rsid w:val="7E741DD2"/>
    <w:rsid w:val="7FB63907"/>
    <w:rsid w:val="7FC518A4"/>
    <w:rsid w:val="7FEB0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46EE4F-93EB-4326-86C7-A82E7CE58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Char"/>
    <w:uiPriority w:val="9"/>
    <w:qFormat/>
    <w:pPr>
      <w:spacing w:beforeLines="50" w:before="50" w:afterLines="50" w:after="50"/>
      <w:jc w:val="left"/>
      <w:outlineLvl w:val="1"/>
    </w:pPr>
    <w:rPr>
      <w:rFonts w:eastAsia="Arial Unicode MS"/>
      <w:sz w:val="24"/>
      <w:szCs w:val="32"/>
    </w:rPr>
  </w:style>
  <w:style w:type="paragraph" w:styleId="3">
    <w:name w:val="heading 3"/>
    <w:basedOn w:val="a"/>
    <w:next w:val="a"/>
    <w:uiPriority w:val="9"/>
    <w:unhideWhenUsed/>
    <w:qFormat/>
    <w:pPr>
      <w:spacing w:beforeAutospacing="1" w:afterAutospacing="1"/>
      <w:jc w:val="left"/>
      <w:outlineLvl w:val="2"/>
    </w:pPr>
    <w:rPr>
      <w:rFonts w:ascii="宋体" w:hAnsi="宋体" w:hint="eastAsia"/>
      <w:b/>
      <w:kern w:val="0"/>
      <w:sz w:val="27"/>
      <w:szCs w:val="27"/>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paragraph" w:styleId="5">
    <w:name w:val="heading 5"/>
    <w:basedOn w:val="a"/>
    <w:next w:val="a"/>
    <w:uiPriority w:val="9"/>
    <w:unhideWhenUsed/>
    <w:qFormat/>
    <w:pPr>
      <w:keepNext/>
      <w:keepLines/>
      <w:spacing w:before="280" w:after="290" w:line="372" w:lineRule="auto"/>
      <w:outlineLvl w:val="4"/>
    </w:pPr>
    <w:rPr>
      <w:b/>
      <w:sz w:val="28"/>
    </w:rPr>
  </w:style>
  <w:style w:type="paragraph" w:styleId="6">
    <w:name w:val="heading 6"/>
    <w:basedOn w:val="a"/>
    <w:next w:val="a"/>
    <w:uiPriority w:val="9"/>
    <w:unhideWhenUsed/>
    <w:qFormat/>
    <w:pPr>
      <w:keepNext/>
      <w:keepLines/>
      <w:spacing w:before="240" w:after="64" w:line="317" w:lineRule="auto"/>
      <w:outlineLvl w:val="5"/>
    </w:pPr>
    <w:rPr>
      <w:rFonts w:ascii="Arial" w:eastAsia="黑体"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annotation text"/>
    <w:basedOn w:val="a"/>
    <w:link w:val="Char"/>
    <w:uiPriority w:val="99"/>
    <w:qFormat/>
  </w:style>
  <w:style w:type="paragraph" w:styleId="a5">
    <w:name w:val="Body Text"/>
    <w:basedOn w:val="a"/>
    <w:qFormat/>
    <w:pPr>
      <w:spacing w:after="180"/>
    </w:pPr>
    <w:rPr>
      <w:rFonts w:eastAsia="Times New Roman"/>
      <w:lang w:val="en-GB" w:eastAsia="en-US"/>
    </w:rPr>
  </w:style>
  <w:style w:type="paragraph" w:styleId="20">
    <w:name w:val="List 2"/>
    <w:basedOn w:val="a6"/>
    <w:qFormat/>
    <w:pPr>
      <w:ind w:left="851"/>
    </w:pPr>
  </w:style>
  <w:style w:type="paragraph" w:styleId="a6">
    <w:name w:val="List"/>
    <w:basedOn w:val="a"/>
    <w:qFormat/>
    <w:pPr>
      <w:spacing w:after="180"/>
      <w:ind w:left="568" w:hanging="284"/>
    </w:pPr>
    <w:rPr>
      <w:rFonts w:eastAsia="Times New Roman"/>
      <w:lang w:val="en-GB" w:eastAsia="en-US"/>
    </w:rPr>
  </w:style>
  <w:style w:type="paragraph" w:styleId="a7">
    <w:name w:val="Balloon Text"/>
    <w:basedOn w:val="a"/>
    <w:link w:val="Char0"/>
    <w:uiPriority w:val="99"/>
    <w:unhideWhenUsed/>
    <w:qFormat/>
    <w:rPr>
      <w:sz w:val="18"/>
      <w:szCs w:val="18"/>
    </w:rPr>
  </w:style>
  <w:style w:type="paragraph" w:styleId="a8">
    <w:name w:val="footer"/>
    <w:basedOn w:val="a"/>
    <w:semiHidden/>
    <w:qFormat/>
    <w:pPr>
      <w:tabs>
        <w:tab w:val="center" w:pos="4153"/>
        <w:tab w:val="right" w:pos="8306"/>
      </w:tabs>
      <w:snapToGrid w:val="0"/>
      <w:jc w:val="left"/>
    </w:pPr>
    <w:rPr>
      <w:sz w:val="18"/>
      <w:szCs w:val="18"/>
    </w:rPr>
  </w:style>
  <w:style w:type="paragraph" w:styleId="a9">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semiHidden/>
    <w:unhideWhenUsed/>
    <w:qFormat/>
    <w:pPr>
      <w:spacing w:beforeAutospacing="1" w:afterAutospacing="1"/>
      <w:jc w:val="left"/>
    </w:pPr>
    <w:rPr>
      <w:kern w:val="0"/>
      <w:sz w:val="24"/>
    </w:rPr>
  </w:style>
  <w:style w:type="paragraph" w:styleId="ab">
    <w:name w:val="annotation subject"/>
    <w:basedOn w:val="a4"/>
    <w:next w:val="a4"/>
    <w:link w:val="Char1"/>
    <w:semiHidden/>
    <w:unhideWhenUsed/>
    <w:qFormat/>
    <w:pPr>
      <w:jc w:val="left"/>
    </w:pPr>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FollowedHyperlink"/>
    <w:basedOn w:val="a0"/>
    <w:semiHidden/>
    <w:unhideWhenUsed/>
    <w:qFormat/>
    <w:rPr>
      <w:color w:val="800080"/>
      <w:u w:val="single"/>
    </w:rPr>
  </w:style>
  <w:style w:type="character" w:styleId="af0">
    <w:name w:val="Hyperlink"/>
    <w:uiPriority w:val="99"/>
    <w:qFormat/>
    <w:rPr>
      <w:color w:val="0000FF"/>
      <w:u w:val="single"/>
    </w:rPr>
  </w:style>
  <w:style w:type="character" w:styleId="af1">
    <w:name w:val="annotation reference"/>
    <w:basedOn w:val="a0"/>
    <w:uiPriority w:val="99"/>
    <w:semiHidden/>
    <w:unhideWhenUsed/>
    <w:qFormat/>
    <w:rPr>
      <w:sz w:val="16"/>
      <w:szCs w:val="16"/>
    </w:rPr>
  </w:style>
  <w:style w:type="character" w:customStyle="1" w:styleId="Char0">
    <w:name w:val="批注框文本 Char"/>
    <w:basedOn w:val="a0"/>
    <w:link w:val="a7"/>
    <w:uiPriority w:val="99"/>
    <w:semiHidden/>
    <w:qFormat/>
    <w:rPr>
      <w:kern w:val="2"/>
      <w:sz w:val="18"/>
      <w:szCs w:val="18"/>
    </w:rPr>
  </w:style>
  <w:style w:type="paragraph" w:customStyle="1" w:styleId="B1">
    <w:name w:val="B1"/>
    <w:basedOn w:val="a6"/>
    <w:qFormat/>
  </w:style>
  <w:style w:type="paragraph" w:customStyle="1" w:styleId="ListParagraph1">
    <w:name w:val="List Paragraph1"/>
    <w:basedOn w:val="a"/>
    <w:link w:val="ListParagraphChar"/>
    <w:uiPriority w:val="34"/>
    <w:qFormat/>
    <w:pPr>
      <w:ind w:left="720"/>
      <w:contextualSpacing/>
    </w:p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10">
    <w:name w:val="목록 단락1"/>
    <w:basedOn w:val="a"/>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a"/>
    <w:qFormat/>
    <w:pPr>
      <w:numPr>
        <w:numId w:val="1"/>
      </w:numPr>
      <w:tabs>
        <w:tab w:val="left" w:pos="1701"/>
      </w:tabs>
    </w:pPr>
    <w:rPr>
      <w:b/>
      <w:bCs/>
    </w:rPr>
  </w:style>
  <w:style w:type="paragraph" w:customStyle="1" w:styleId="3GPPHeader">
    <w:name w:val="3GPP_Header"/>
    <w:basedOn w:val="a"/>
    <w:qFormat/>
    <w:pPr>
      <w:tabs>
        <w:tab w:val="left" w:pos="1800"/>
        <w:tab w:val="right" w:pos="9360"/>
      </w:tabs>
    </w:pPr>
    <w:rPr>
      <w:rFonts w:ascii="Arial" w:hAnsi="Arial"/>
      <w:b/>
    </w:rPr>
  </w:style>
  <w:style w:type="character" w:customStyle="1" w:styleId="Char">
    <w:name w:val="批注文字 Char"/>
    <w:basedOn w:val="a0"/>
    <w:link w:val="a4"/>
    <w:uiPriority w:val="99"/>
    <w:qFormat/>
    <w:rPr>
      <w:rFonts w:eastAsia="宋体"/>
      <w:kern w:val="2"/>
      <w:sz w:val="21"/>
      <w:szCs w:val="24"/>
    </w:rPr>
  </w:style>
  <w:style w:type="character" w:customStyle="1" w:styleId="Char1">
    <w:name w:val="批注主题 Char"/>
    <w:basedOn w:val="Char"/>
    <w:link w:val="ab"/>
    <w:semiHidden/>
    <w:qFormat/>
    <w:rPr>
      <w:rFonts w:eastAsia="宋体"/>
      <w:b/>
      <w:bCs/>
      <w:kern w:val="2"/>
      <w:sz w:val="21"/>
      <w:szCs w:val="24"/>
    </w:rPr>
  </w:style>
  <w:style w:type="character" w:customStyle="1" w:styleId="ListParagraphChar">
    <w:name w:val="List Paragraph Char"/>
    <w:link w:val="ListParagraph1"/>
    <w:uiPriority w:val="34"/>
    <w:qFormat/>
    <w:locked/>
    <w:rPr>
      <w:rFonts w:eastAsia="宋体"/>
      <w:kern w:val="2"/>
      <w:sz w:val="21"/>
      <w:szCs w:val="24"/>
    </w:rPr>
  </w:style>
  <w:style w:type="paragraph" w:styleId="af2">
    <w:name w:val="List Paragraph"/>
    <w:basedOn w:val="a"/>
    <w:uiPriority w:val="99"/>
    <w:qFormat/>
    <w:pPr>
      <w:ind w:firstLineChars="200" w:firstLine="420"/>
    </w:pPr>
  </w:style>
  <w:style w:type="paragraph" w:customStyle="1" w:styleId="PatAppBody">
    <w:name w:val="PatApp Body"/>
    <w:basedOn w:val="a"/>
    <w:qFormat/>
    <w:pPr>
      <w:widowControl/>
      <w:numPr>
        <w:numId w:val="2"/>
      </w:numPr>
      <w:spacing w:line="480" w:lineRule="auto"/>
      <w:jc w:val="left"/>
    </w:pPr>
    <w:rPr>
      <w:rFonts w:eastAsia="Times New Roman"/>
      <w:snapToGrid w:val="0"/>
      <w:kern w:val="0"/>
      <w:sz w:val="24"/>
      <w:szCs w:val="20"/>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character" w:customStyle="1" w:styleId="2Char">
    <w:name w:val="标题 2 Char"/>
    <w:basedOn w:val="a0"/>
    <w:link w:val="2"/>
    <w:uiPriority w:val="9"/>
    <w:qFormat/>
    <w:rPr>
      <w:rFonts w:ascii="Times New Roman" w:eastAsia="Arial Unicode MS" w:hAnsi="Times New Roman"/>
      <w:sz w:val="24"/>
      <w:szCs w:val="32"/>
      <w:lang w:val="en-GB"/>
    </w:rPr>
  </w:style>
  <w:style w:type="character" w:customStyle="1" w:styleId="1Char">
    <w:name w:val="标题 1 Char"/>
    <w:link w:val="1"/>
    <w:qFormat/>
    <w:rPr>
      <w:rFonts w:ascii="Arial" w:eastAsia="Times New Roman" w:hAnsi="Arial" w:cs="Arial"/>
      <w:sz w:val="36"/>
      <w:szCs w:val="36"/>
      <w:lang w:val="en-GB"/>
    </w:rPr>
  </w:style>
  <w:style w:type="paragraph" w:customStyle="1" w:styleId="11">
    <w:name w:val="修订1"/>
    <w:hidden/>
    <w:uiPriority w:val="99"/>
    <w:semiHidden/>
    <w:qFormat/>
    <w:rPr>
      <w:kern w:val="2"/>
      <w:sz w:val="21"/>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H">
    <w:name w:val="TH"/>
    <w:basedOn w:val="a"/>
    <w:qFormat/>
    <w:pPr>
      <w:keepNext/>
      <w:keepLines/>
      <w:spacing w:before="60"/>
      <w:jc w:val="center"/>
    </w:pPr>
    <w:rPr>
      <w:rFonts w:ascii="Arial" w:hAnsi="Arial"/>
      <w:b/>
    </w:rPr>
  </w:style>
  <w:style w:type="character" w:styleId="af3">
    <w:name w:val="Placeholder Text"/>
    <w:basedOn w:val="a0"/>
    <w:uiPriority w:val="99"/>
    <w:semiHidden/>
    <w:qFormat/>
    <w:rPr>
      <w:color w:val="808080"/>
    </w:rPr>
  </w:style>
  <w:style w:type="paragraph" w:customStyle="1" w:styleId="21">
    <w:name w:val="修订2"/>
    <w:hidden/>
    <w:uiPriority w:val="99"/>
    <w:semiHidden/>
    <w:qFormat/>
    <w:rPr>
      <w:kern w:val="2"/>
      <w:sz w:val="21"/>
      <w:szCs w:val="24"/>
    </w:rPr>
  </w:style>
  <w:style w:type="paragraph" w:customStyle="1" w:styleId="B2">
    <w:name w:val="B2"/>
    <w:basedOn w:val="2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FE11E8-18E9-4E07-9BC9-84F713AD1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2271</Words>
  <Characters>12946</Characters>
  <Application>Microsoft Office Word</Application>
  <DocSecurity>0</DocSecurity>
  <Lines>107</Lines>
  <Paragraphs>30</Paragraphs>
  <ScaleCrop>false</ScaleCrop>
  <Company>zte</Company>
  <LinksUpToDate>false</LinksUpToDate>
  <CharactersWithSpaces>15187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cp:lastModifiedBy>
  <cp:revision>592</cp:revision>
  <cp:lastPrinted>2113-01-01T00:00:00Z</cp:lastPrinted>
  <dcterms:created xsi:type="dcterms:W3CDTF">2020-08-04T13:41:00Z</dcterms:created>
  <dcterms:modified xsi:type="dcterms:W3CDTF">2021-05-11T07:40:00Z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